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910CE4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-03</w:t>
      </w:r>
    </w:p>
    <w:p w14:paraId="537F8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6704BF33">
      <w:pPr>
        <w:pStyle w:val="24"/>
        <w:bidi w:val="0"/>
      </w:pPr>
      <w:bookmarkStart w:id="0" w:name="_Toc14017"/>
      <w:r>
        <w:rPr>
          <w:rFonts w:hint="eastAsia"/>
          <w:lang w:val="en-US" w:eastAsia="zh-CN"/>
        </w:rPr>
        <w:t>天津通海信息技术有限公司</w:t>
      </w:r>
      <w:bookmarkEnd w:id="0"/>
    </w:p>
    <w:p w14:paraId="1E37F641">
      <w:pPr>
        <w:pStyle w:val="25"/>
        <w:bidi w:val="0"/>
        <w:rPr>
          <w:rFonts w:hint="default"/>
          <w:lang w:val="en-US"/>
        </w:rPr>
      </w:pPr>
      <w:bookmarkStart w:id="1" w:name="_Toc11629"/>
      <w:r>
        <w:rPr>
          <w:rFonts w:hint="eastAsia"/>
          <w:lang w:val="en-US" w:eastAsia="zh-CN"/>
        </w:rPr>
        <w:t>服务报告管理制度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5FC288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1EAF3F9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耿宁</w:t>
            </w:r>
          </w:p>
        </w:tc>
        <w:tc>
          <w:tcPr>
            <w:tcW w:w="4261" w:type="dxa"/>
          </w:tcPr>
          <w:p w14:paraId="2199981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28B67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1F9A776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  <w:shd w:val="clear" w:color="auto" w:fill="auto"/>
          </w:tcPr>
          <w:p w14:paraId="07A9828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27" w:name="_GoBack"/>
            <w:bookmarkEnd w:id="27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551D47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6CA27C2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尹兆铮</w:t>
            </w:r>
          </w:p>
        </w:tc>
        <w:tc>
          <w:tcPr>
            <w:tcW w:w="4261" w:type="dxa"/>
          </w:tcPr>
          <w:p w14:paraId="2EEAE4A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 w14:paraId="04506C4A">
      <w:r>
        <w:br w:type="page"/>
      </w:r>
    </w:p>
    <w:p w14:paraId="71FA178A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66E982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46D1B6E5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5B278654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1C62E854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177ED2B2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1666A861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45C6EAD9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1A3D3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6FACBE7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 w14:paraId="7753C7F6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4017FF34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1F86E15C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耿宁</w:t>
            </w:r>
          </w:p>
        </w:tc>
        <w:tc>
          <w:tcPr>
            <w:tcW w:w="1150" w:type="dxa"/>
          </w:tcPr>
          <w:p w14:paraId="4D8E6115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 w14:paraId="2CFDE926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尹兆铮</w:t>
            </w:r>
          </w:p>
        </w:tc>
      </w:tr>
      <w:tr w14:paraId="789C11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243CE37">
            <w:pPr>
              <w:pStyle w:val="27"/>
            </w:pPr>
          </w:p>
        </w:tc>
        <w:tc>
          <w:tcPr>
            <w:tcW w:w="919" w:type="dxa"/>
          </w:tcPr>
          <w:p w14:paraId="7D3E3D12">
            <w:pPr>
              <w:pStyle w:val="27"/>
            </w:pPr>
          </w:p>
        </w:tc>
        <w:tc>
          <w:tcPr>
            <w:tcW w:w="2289" w:type="dxa"/>
          </w:tcPr>
          <w:p w14:paraId="0BA9A061">
            <w:pPr>
              <w:pStyle w:val="27"/>
            </w:pPr>
          </w:p>
        </w:tc>
        <w:tc>
          <w:tcPr>
            <w:tcW w:w="1148" w:type="dxa"/>
          </w:tcPr>
          <w:p w14:paraId="4F376606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362F7572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45E0F579">
            <w:pPr>
              <w:pStyle w:val="27"/>
            </w:pPr>
          </w:p>
        </w:tc>
      </w:tr>
      <w:tr w14:paraId="0A65B2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83C327B">
            <w:pPr>
              <w:pStyle w:val="27"/>
            </w:pPr>
          </w:p>
        </w:tc>
        <w:tc>
          <w:tcPr>
            <w:tcW w:w="919" w:type="dxa"/>
          </w:tcPr>
          <w:p w14:paraId="0C594C7F">
            <w:pPr>
              <w:pStyle w:val="27"/>
            </w:pPr>
          </w:p>
        </w:tc>
        <w:tc>
          <w:tcPr>
            <w:tcW w:w="2289" w:type="dxa"/>
          </w:tcPr>
          <w:p w14:paraId="1D7D000E">
            <w:pPr>
              <w:pStyle w:val="27"/>
            </w:pPr>
          </w:p>
        </w:tc>
        <w:tc>
          <w:tcPr>
            <w:tcW w:w="1148" w:type="dxa"/>
          </w:tcPr>
          <w:p w14:paraId="4EA80394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1696DC22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3DFFD945">
            <w:pPr>
              <w:pStyle w:val="27"/>
            </w:pPr>
          </w:p>
        </w:tc>
      </w:tr>
      <w:tr w14:paraId="296587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03566F3A">
            <w:pPr>
              <w:pStyle w:val="27"/>
            </w:pPr>
          </w:p>
        </w:tc>
        <w:tc>
          <w:tcPr>
            <w:tcW w:w="919" w:type="dxa"/>
          </w:tcPr>
          <w:p w14:paraId="374E2A2F">
            <w:pPr>
              <w:pStyle w:val="27"/>
            </w:pPr>
          </w:p>
        </w:tc>
        <w:tc>
          <w:tcPr>
            <w:tcW w:w="2289" w:type="dxa"/>
          </w:tcPr>
          <w:p w14:paraId="1E16BE67">
            <w:pPr>
              <w:pStyle w:val="27"/>
            </w:pPr>
          </w:p>
        </w:tc>
        <w:tc>
          <w:tcPr>
            <w:tcW w:w="1148" w:type="dxa"/>
          </w:tcPr>
          <w:p w14:paraId="66A60FAA">
            <w:pPr>
              <w:pStyle w:val="27"/>
            </w:pPr>
          </w:p>
        </w:tc>
        <w:tc>
          <w:tcPr>
            <w:tcW w:w="1150" w:type="dxa"/>
          </w:tcPr>
          <w:p w14:paraId="71B65A79">
            <w:pPr>
              <w:pStyle w:val="27"/>
            </w:pPr>
          </w:p>
        </w:tc>
        <w:tc>
          <w:tcPr>
            <w:tcW w:w="1240" w:type="dxa"/>
          </w:tcPr>
          <w:p w14:paraId="0A0AC54D">
            <w:pPr>
              <w:pStyle w:val="27"/>
            </w:pPr>
          </w:p>
        </w:tc>
      </w:tr>
      <w:tr w14:paraId="50F705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2FA59AD">
            <w:pPr>
              <w:pStyle w:val="27"/>
            </w:pPr>
          </w:p>
        </w:tc>
        <w:tc>
          <w:tcPr>
            <w:tcW w:w="919" w:type="dxa"/>
          </w:tcPr>
          <w:p w14:paraId="60E44538">
            <w:pPr>
              <w:pStyle w:val="27"/>
            </w:pPr>
          </w:p>
        </w:tc>
        <w:tc>
          <w:tcPr>
            <w:tcW w:w="2289" w:type="dxa"/>
          </w:tcPr>
          <w:p w14:paraId="4EBA18BC">
            <w:pPr>
              <w:pStyle w:val="27"/>
            </w:pPr>
          </w:p>
        </w:tc>
        <w:tc>
          <w:tcPr>
            <w:tcW w:w="1148" w:type="dxa"/>
          </w:tcPr>
          <w:p w14:paraId="27F265B5">
            <w:pPr>
              <w:pStyle w:val="27"/>
            </w:pPr>
          </w:p>
        </w:tc>
        <w:tc>
          <w:tcPr>
            <w:tcW w:w="1150" w:type="dxa"/>
          </w:tcPr>
          <w:p w14:paraId="40B14EE1">
            <w:pPr>
              <w:pStyle w:val="27"/>
            </w:pPr>
          </w:p>
        </w:tc>
        <w:tc>
          <w:tcPr>
            <w:tcW w:w="1240" w:type="dxa"/>
          </w:tcPr>
          <w:p w14:paraId="3D3E0BF2">
            <w:pPr>
              <w:pStyle w:val="27"/>
            </w:pPr>
          </w:p>
        </w:tc>
      </w:tr>
      <w:tr w14:paraId="55530F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67A3A314">
            <w:pPr>
              <w:pStyle w:val="27"/>
            </w:pPr>
          </w:p>
        </w:tc>
        <w:tc>
          <w:tcPr>
            <w:tcW w:w="919" w:type="dxa"/>
          </w:tcPr>
          <w:p w14:paraId="62BAB55B">
            <w:pPr>
              <w:pStyle w:val="27"/>
            </w:pPr>
          </w:p>
        </w:tc>
        <w:tc>
          <w:tcPr>
            <w:tcW w:w="2289" w:type="dxa"/>
          </w:tcPr>
          <w:p w14:paraId="54F2E377">
            <w:pPr>
              <w:pStyle w:val="27"/>
            </w:pPr>
          </w:p>
        </w:tc>
        <w:tc>
          <w:tcPr>
            <w:tcW w:w="1148" w:type="dxa"/>
          </w:tcPr>
          <w:p w14:paraId="7FBD74E5">
            <w:pPr>
              <w:pStyle w:val="27"/>
            </w:pPr>
          </w:p>
        </w:tc>
        <w:tc>
          <w:tcPr>
            <w:tcW w:w="1150" w:type="dxa"/>
          </w:tcPr>
          <w:p w14:paraId="4A739649">
            <w:pPr>
              <w:pStyle w:val="27"/>
            </w:pPr>
          </w:p>
        </w:tc>
        <w:tc>
          <w:tcPr>
            <w:tcW w:w="1240" w:type="dxa"/>
          </w:tcPr>
          <w:p w14:paraId="016F100B">
            <w:pPr>
              <w:pStyle w:val="27"/>
            </w:pPr>
          </w:p>
        </w:tc>
      </w:tr>
    </w:tbl>
    <w:p w14:paraId="1676C6B6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7E8E0F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053A33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_Toc14017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_Toc14017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4032A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_Toc11629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服务报告管理制度</w:t>
          </w:r>
          <w:r>
            <w:tab/>
          </w:r>
          <w:r>
            <w:fldChar w:fldCharType="begin"/>
          </w:r>
          <w:r>
            <w:instrText xml:space="preserve"> PAGEREF _Toc11629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23128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_Toc28243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_Toc28243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1C8B5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_Toc29842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_Toc29842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D2D8F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_Toc8177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术语定义</w:t>
          </w:r>
          <w:r>
            <w:tab/>
          </w:r>
          <w:r>
            <w:fldChar w:fldCharType="begin"/>
          </w:r>
          <w:r>
            <w:instrText xml:space="preserve"> PAGEREF _Toc8177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C635A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_Toc22705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_Toc22705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6D527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_Toc24136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_Toc24136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D0725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_Toc23724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_Toc23724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4E81B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_Toc6136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服务报告管理流程</w:t>
          </w:r>
          <w:r>
            <w:tab/>
          </w:r>
          <w:r>
            <w:fldChar w:fldCharType="begin"/>
          </w:r>
          <w:r>
            <w:instrText xml:space="preserve"> PAGEREF _Toc6136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8D160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_Toc22238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过程描述</w:t>
          </w:r>
          <w:r>
            <w:tab/>
          </w:r>
          <w:r>
            <w:fldChar w:fldCharType="begin"/>
          </w:r>
          <w:r>
            <w:instrText xml:space="preserve"> PAGEREF _Toc22238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200A7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_Toc19262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5.1.1. 报告分类与规划</w:t>
          </w:r>
          <w:r>
            <w:tab/>
          </w:r>
          <w:r>
            <w:fldChar w:fldCharType="begin"/>
          </w:r>
          <w:r>
            <w:instrText xml:space="preserve"> PAGEREF _Toc19262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D9957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_Toc4249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5.1.2. 识别报告要素</w:t>
          </w:r>
          <w:r>
            <w:tab/>
          </w:r>
          <w:r>
            <w:fldChar w:fldCharType="begin"/>
          </w:r>
          <w:r>
            <w:instrText xml:space="preserve"> PAGEREF _Toc4249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B84EE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_Toc30727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5.1.3. 收集与分析报告数据</w:t>
          </w:r>
          <w:r>
            <w:tab/>
          </w:r>
          <w:r>
            <w:fldChar w:fldCharType="begin"/>
          </w:r>
          <w:r>
            <w:instrText xml:space="preserve"> PAGEREF _Toc30727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F1461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_Toc32367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5.1.4. 编写服务报告</w:t>
          </w:r>
          <w:r>
            <w:tab/>
          </w:r>
          <w:r>
            <w:fldChar w:fldCharType="begin"/>
          </w:r>
          <w:r>
            <w:instrText xml:space="preserve"> PAGEREF _Toc32367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81F17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_Toc19344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5.1.5. 服务报告评审</w:t>
          </w:r>
          <w:r>
            <w:tab/>
          </w:r>
          <w:r>
            <w:fldChar w:fldCharType="begin"/>
          </w:r>
          <w:r>
            <w:instrText xml:space="preserve"> PAGEREF _Toc19344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BDCF2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_Toc16342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5.1.6. 服务报告的批准、提交与分发</w:t>
          </w:r>
          <w:r>
            <w:tab/>
          </w:r>
          <w:r>
            <w:fldChar w:fldCharType="begin"/>
          </w:r>
          <w:r>
            <w:instrText xml:space="preserve"> PAGEREF _Toc16342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3556C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_Toc6645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5.1.7. 服务报告归档</w:t>
          </w:r>
          <w:r>
            <w:tab/>
          </w:r>
          <w:r>
            <w:fldChar w:fldCharType="begin"/>
          </w:r>
          <w:r>
            <w:instrText xml:space="preserve"> PAGEREF _Toc6645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2B8BD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_Toc18672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5.1.8. 反馈与持续改进</w:t>
          </w:r>
          <w:r>
            <w:tab/>
          </w:r>
          <w:r>
            <w:fldChar w:fldCharType="begin"/>
          </w:r>
          <w:r>
            <w:instrText xml:space="preserve"> PAGEREF _Toc18672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10BF7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_Toc7528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_Toc7528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0CD90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_Toc28533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_Toc28533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EB922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_Toc28642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_Toc28642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49598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_Toc7187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_Toc7187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200BC0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5223F17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E6C6B01">
      <w:pPr>
        <w:pStyle w:val="28"/>
        <w:bidi w:val="0"/>
      </w:pPr>
      <w:bookmarkStart w:id="2" w:name="_Toc28243"/>
      <w:r>
        <w:t>目的</w:t>
      </w:r>
      <w:bookmarkEnd w:id="2"/>
    </w:p>
    <w:p w14:paraId="6D68E65F">
      <w:pPr>
        <w:pStyle w:val="29"/>
        <w:bidi w:val="0"/>
        <w:rPr>
          <w:rFonts w:hint="default"/>
          <w:lang w:val="en-US" w:eastAsia="zh-CN"/>
        </w:rPr>
      </w:pPr>
      <w:r>
        <w:t>为了规范运维部在ITSS运维服务能力管理体系运转</w:t>
      </w:r>
      <w:r>
        <w:rPr>
          <w:rFonts w:hint="eastAsia"/>
          <w:lang w:eastAsia="zh-CN"/>
        </w:rPr>
        <w:t>制度</w:t>
      </w:r>
      <w:r>
        <w:t>中所产生的相关服务报告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特制定此制度</w:t>
      </w:r>
    </w:p>
    <w:p w14:paraId="20F2F5CB">
      <w:pPr>
        <w:pStyle w:val="28"/>
        <w:bidi w:val="0"/>
        <w:rPr>
          <w:rFonts w:hint="eastAsia"/>
          <w:lang w:val="en-US" w:eastAsia="zh-CN"/>
        </w:rPr>
      </w:pPr>
      <w:bookmarkStart w:id="3" w:name="_Toc29842"/>
      <w:r>
        <w:rPr>
          <w:rFonts w:hint="eastAsia"/>
          <w:lang w:val="en-US" w:eastAsia="zh-CN"/>
        </w:rPr>
        <w:t>原则</w:t>
      </w:r>
      <w:bookmarkEnd w:id="3"/>
    </w:p>
    <w:p w14:paraId="7B75E33D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真实性原则</w:t>
      </w:r>
    </w:p>
    <w:p w14:paraId="02214C99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报告数据必须真实、准确、完整，客观反映运维服务的实际情况。</w:t>
      </w:r>
    </w:p>
    <w:p w14:paraId="718D5D5A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规范性原则</w:t>
      </w:r>
    </w:p>
    <w:p w14:paraId="1EC924DA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报告的编制、审核、发布与归档需遵循统一的格式、周期和流程，确保标准化与一致性。</w:t>
      </w:r>
    </w:p>
    <w:p w14:paraId="17F4F2B5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及时性原则</w:t>
      </w:r>
    </w:p>
    <w:p w14:paraId="02D14072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报告应按时生成与分发，确保信息的时效性，为管理决策提供有效支撑。</w:t>
      </w:r>
    </w:p>
    <w:p w14:paraId="62CE1D2F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价值导向原则</w:t>
      </w:r>
    </w:p>
    <w:p w14:paraId="3CBD01EB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报告内容应聚焦关键服务指标（KPI）与核心价值，突出重点，便于理解和应用</w:t>
      </w:r>
    </w:p>
    <w:p w14:paraId="62CC365A">
      <w:pPr>
        <w:pStyle w:val="30"/>
        <w:bidi w:val="0"/>
        <w:rPr>
          <w:rFonts w:hint="default"/>
          <w:lang w:val="en-US" w:eastAsia="zh-CN"/>
        </w:rPr>
      </w:pPr>
      <w:bookmarkStart w:id="4" w:name="_Toc8177"/>
      <w:r>
        <w:rPr>
          <w:rFonts w:hint="eastAsia"/>
          <w:lang w:val="en-US" w:eastAsia="zh-CN"/>
        </w:rPr>
        <w:t>术语定义</w:t>
      </w:r>
      <w:bookmarkEnd w:id="4"/>
    </w:p>
    <w:p w14:paraId="19312309">
      <w:pPr>
        <w:pStyle w:val="39"/>
        <w:numPr>
          <w:ilvl w:val="0"/>
          <w:numId w:val="3"/>
        </w:numPr>
        <w:bidi w:val="0"/>
        <w:ind w:left="425" w:leftChars="0" w:hanging="425" w:firstLineChars="0"/>
      </w:pPr>
      <w:r>
        <w:t>服务报告</w:t>
      </w:r>
    </w:p>
    <w:p w14:paraId="13A22E0B">
      <w:pPr>
        <w:pStyle w:val="39"/>
        <w:bidi w:val="0"/>
      </w:pPr>
      <w:r>
        <w:t>服务报告有以下几种类型，至少应编写一种报告，涵盖所有报告为优：</w:t>
      </w:r>
    </w:p>
    <w:p w14:paraId="5FA35C6C">
      <w:pPr>
        <w:pStyle w:val="39"/>
        <w:numPr>
          <w:ilvl w:val="0"/>
          <w:numId w:val="4"/>
        </w:numPr>
        <w:bidi w:val="0"/>
        <w:ind w:left="845" w:leftChars="0" w:hanging="425" w:firstLineChars="0"/>
      </w:pPr>
      <w:r>
        <w:t>反应性报告，即报告已经发生了的客服现状；</w:t>
      </w:r>
    </w:p>
    <w:p w14:paraId="078AA57C">
      <w:pPr>
        <w:pStyle w:val="39"/>
        <w:numPr>
          <w:ilvl w:val="0"/>
          <w:numId w:val="4"/>
        </w:numPr>
        <w:bidi w:val="0"/>
        <w:ind w:left="845" w:leftChars="0" w:hanging="425" w:firstLineChars="0"/>
      </w:pPr>
      <w:r>
        <w:t>前置性报告，即对重要事故进行预警， 由此保障可以提前采取预防性措施（如即将发生的违反SLA的行为）；</w:t>
      </w:r>
    </w:p>
    <w:p w14:paraId="0D0EB179">
      <w:pPr>
        <w:pStyle w:val="39"/>
        <w:numPr>
          <w:ilvl w:val="0"/>
          <w:numId w:val="4"/>
        </w:numPr>
        <w:bidi w:val="0"/>
        <w:ind w:left="845" w:leftChars="0" w:hanging="425" w:firstLineChars="0"/>
      </w:pPr>
      <w:r>
        <w:t>预先计划报告，即报告计划的活动</w:t>
      </w:r>
    </w:p>
    <w:p w14:paraId="0500BEF6">
      <w:pPr>
        <w:pStyle w:val="39"/>
        <w:numPr>
          <w:ilvl w:val="0"/>
          <w:numId w:val="3"/>
        </w:numPr>
        <w:bidi w:val="0"/>
        <w:ind w:left="425" w:leftChars="0" w:hanging="425" w:firstLineChars="0"/>
      </w:pPr>
      <w:r>
        <w:t>反应性报告</w:t>
      </w:r>
    </w:p>
    <w:p w14:paraId="027E1AD0">
      <w:pPr>
        <w:pStyle w:val="39"/>
        <w:numPr>
          <w:ilvl w:val="0"/>
          <w:numId w:val="5"/>
        </w:numPr>
        <w:bidi w:val="0"/>
        <w:ind w:left="845" w:leftChars="0" w:hanging="425" w:firstLineChars="0"/>
      </w:pPr>
      <w:r>
        <w:t>与服务等级目标相比较的业绩，如：消耗量报告和成绩；</w:t>
      </w:r>
    </w:p>
    <w:p w14:paraId="2673DD87">
      <w:pPr>
        <w:pStyle w:val="39"/>
        <w:numPr>
          <w:ilvl w:val="0"/>
          <w:numId w:val="5"/>
        </w:numPr>
        <w:bidi w:val="0"/>
        <w:ind w:left="845" w:leftChars="0" w:hanging="425" w:firstLineChars="0"/>
      </w:pPr>
      <w:r>
        <w:t>与标准的不符合及发生的问题，如违反服务级别协议及安全违规；</w:t>
      </w:r>
    </w:p>
    <w:p w14:paraId="634E9726">
      <w:pPr>
        <w:pStyle w:val="39"/>
        <w:numPr>
          <w:ilvl w:val="0"/>
          <w:numId w:val="5"/>
        </w:numPr>
        <w:bidi w:val="0"/>
        <w:ind w:left="845" w:leftChars="0" w:hanging="425" w:firstLineChars="0"/>
      </w:pPr>
      <w:r>
        <w:t>工作量特性和能力信息，如：事故、 问题、变更和任务、分类、地点、顾客、趋势、优先级和服务请求的数量；</w:t>
      </w:r>
    </w:p>
    <w:p w14:paraId="720B529C">
      <w:pPr>
        <w:pStyle w:val="39"/>
        <w:numPr>
          <w:ilvl w:val="0"/>
          <w:numId w:val="5"/>
        </w:numPr>
        <w:bidi w:val="0"/>
        <w:ind w:left="845" w:leftChars="0" w:hanging="425" w:firstLineChars="0"/>
      </w:pPr>
      <w:r>
        <w:t>重大事件后的报告，如：变更和发布；</w:t>
      </w:r>
    </w:p>
    <w:p w14:paraId="4BC87107">
      <w:pPr>
        <w:pStyle w:val="39"/>
        <w:numPr>
          <w:ilvl w:val="0"/>
          <w:numId w:val="5"/>
        </w:numPr>
        <w:bidi w:val="0"/>
        <w:ind w:left="845" w:leftChars="0" w:hanging="425" w:firstLineChars="0"/>
      </w:pPr>
      <w:r>
        <w:t>包括每一</w:t>
      </w:r>
      <w:r>
        <w:rPr>
          <w:rFonts w:hint="eastAsia"/>
          <w:lang w:eastAsia="zh-CN"/>
        </w:rPr>
        <w:t>制度</w:t>
      </w:r>
      <w:r>
        <w:t>信息的变更，如：事件的数量、最常问及的问题、资源/成本集中的任务。</w:t>
      </w:r>
    </w:p>
    <w:p w14:paraId="648329FA">
      <w:pPr>
        <w:pStyle w:val="39"/>
        <w:numPr>
          <w:ilvl w:val="0"/>
          <w:numId w:val="3"/>
        </w:numPr>
        <w:bidi w:val="0"/>
        <w:ind w:left="425" w:leftChars="0" w:hanging="425" w:firstLineChars="0"/>
      </w:pPr>
      <w:r>
        <w:t>前置性报告</w:t>
      </w:r>
    </w:p>
    <w:p w14:paraId="16015100">
      <w:pPr>
        <w:pStyle w:val="39"/>
        <w:numPr>
          <w:ilvl w:val="0"/>
          <w:numId w:val="6"/>
        </w:numPr>
        <w:bidi w:val="0"/>
        <w:ind w:left="845" w:leftChars="0" w:hanging="425" w:firstLineChars="0"/>
      </w:pPr>
      <w:r>
        <w:t>阶段性的趋势信息（如：天、周、月、阶段）；</w:t>
      </w:r>
    </w:p>
    <w:p w14:paraId="6C274470">
      <w:pPr>
        <w:pStyle w:val="39"/>
        <w:numPr>
          <w:ilvl w:val="0"/>
          <w:numId w:val="6"/>
        </w:numPr>
        <w:bidi w:val="0"/>
        <w:ind w:left="845" w:leftChars="0" w:hanging="425" w:firstLineChars="0"/>
      </w:pPr>
      <w:r>
        <w:t>不可靠的基础设施组件。</w:t>
      </w:r>
    </w:p>
    <w:p w14:paraId="1131F992">
      <w:pPr>
        <w:pStyle w:val="39"/>
        <w:numPr>
          <w:ilvl w:val="0"/>
          <w:numId w:val="3"/>
        </w:numPr>
        <w:bidi w:val="0"/>
        <w:ind w:left="425" w:leftChars="0" w:hanging="425" w:firstLineChars="0"/>
      </w:pPr>
      <w:r>
        <w:t>预先计划报告</w:t>
      </w:r>
    </w:p>
    <w:p w14:paraId="142A542D">
      <w:pPr>
        <w:pStyle w:val="39"/>
        <w:bidi w:val="0"/>
        <w:rPr>
          <w:rFonts w:hint="default" w:ascii="宋体" w:hAnsi="宋体" w:eastAsia="宋体" w:cs="宋体"/>
          <w:spacing w:val="7"/>
          <w:szCs w:val="20"/>
          <w:lang w:val="en-US" w:eastAsia="zh-CN"/>
        </w:rPr>
      </w:pPr>
      <w:r>
        <w:t>强调未来的计划，包括工作量，变更计划，未来可能发生的事件等。</w:t>
      </w:r>
    </w:p>
    <w:p w14:paraId="2745EBB4">
      <w:pPr>
        <w:pStyle w:val="28"/>
        <w:bidi w:val="0"/>
      </w:pPr>
      <w:bookmarkStart w:id="5" w:name="_Toc22705"/>
      <w:r>
        <w:rPr>
          <w:rFonts w:hint="eastAsia"/>
          <w:lang w:val="en-US" w:eastAsia="zh-CN"/>
        </w:rPr>
        <w:t>适用</w:t>
      </w:r>
      <w:r>
        <w:t>范围</w:t>
      </w:r>
      <w:bookmarkEnd w:id="5"/>
    </w:p>
    <w:p w14:paraId="5ABE4CB9">
      <w:pPr>
        <w:pStyle w:val="29"/>
        <w:bidi w:val="0"/>
      </w:pPr>
      <w:r>
        <w:rPr>
          <w:rFonts w:hint="eastAsia"/>
          <w:lang w:val="en-US" w:eastAsia="zh-CN"/>
        </w:rPr>
        <w:t>适用于</w:t>
      </w:r>
      <w:r>
        <w:t>运维部对ITSS运维服务能力管理体系各流程所产生的服务报告的管理。</w:t>
      </w:r>
    </w:p>
    <w:p w14:paraId="29F3636A">
      <w:pPr>
        <w:pStyle w:val="28"/>
        <w:bidi w:val="0"/>
        <w:rPr>
          <w:rFonts w:hint="eastAsia"/>
          <w:lang w:val="en-US" w:eastAsia="zh-CN"/>
        </w:rPr>
      </w:pPr>
      <w:bookmarkStart w:id="6" w:name="_Toc24136"/>
      <w:r>
        <w:rPr>
          <w:rFonts w:hint="eastAsia"/>
          <w:lang w:val="en-US" w:eastAsia="zh-CN"/>
        </w:rPr>
        <w:t>岗位职责</w:t>
      </w:r>
      <w:bookmarkEnd w:id="6"/>
    </w:p>
    <w:p w14:paraId="78D144B7">
      <w:pPr>
        <w:pStyle w:val="30"/>
        <w:bidi w:val="0"/>
        <w:rPr>
          <w:rFonts w:hint="default"/>
          <w:lang w:val="en-US" w:eastAsia="zh-CN"/>
        </w:rPr>
      </w:pPr>
      <w:bookmarkStart w:id="7" w:name="_Toc23724"/>
      <w:r>
        <w:rPr>
          <w:rFonts w:hint="eastAsia"/>
          <w:lang w:val="en-US" w:eastAsia="zh-CN"/>
        </w:rPr>
        <w:t>运维部</w:t>
      </w:r>
      <w:bookmarkEnd w:id="7"/>
    </w:p>
    <w:p w14:paraId="40A05111">
      <w:pPr>
        <w:pStyle w:val="29"/>
        <w:numPr>
          <w:ilvl w:val="0"/>
          <w:numId w:val="7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负责提供</w:t>
      </w:r>
      <w:r>
        <w:t>运维服务能力体系的所有报告，为服务级别管理流程提供参考</w:t>
      </w:r>
      <w:r>
        <w:rPr>
          <w:rFonts w:hint="eastAsia"/>
          <w:lang w:eastAsia="zh-CN"/>
        </w:rPr>
        <w:t>。</w:t>
      </w:r>
    </w:p>
    <w:p w14:paraId="595EFDFE">
      <w:pPr>
        <w:pStyle w:val="29"/>
        <w:numPr>
          <w:ilvl w:val="0"/>
          <w:numId w:val="7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负责提供</w:t>
      </w:r>
      <w:r>
        <w:t>管理运维服务能力体系的所有报告，为内部审核、管理评审提供参考</w:t>
      </w:r>
      <w:r>
        <w:rPr>
          <w:rFonts w:hint="eastAsia"/>
          <w:lang w:eastAsia="zh-CN"/>
        </w:rPr>
        <w:t>。</w:t>
      </w:r>
    </w:p>
    <w:p w14:paraId="661AC470">
      <w:pPr>
        <w:pStyle w:val="29"/>
        <w:numPr>
          <w:ilvl w:val="0"/>
          <w:numId w:val="7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t>确保各报告的撰写、审批、发布,按照《服务报告管理</w:t>
      </w:r>
      <w:r>
        <w:rPr>
          <w:rFonts w:hint="eastAsia"/>
          <w:lang w:val="en-US" w:eastAsia="zh-CN"/>
        </w:rPr>
        <w:t>制度</w:t>
      </w:r>
      <w:r>
        <w:t>》的要求去执行</w:t>
      </w:r>
      <w:r>
        <w:rPr>
          <w:rFonts w:hint="eastAsia"/>
          <w:lang w:eastAsia="zh-CN"/>
        </w:rPr>
        <w:t>。</w:t>
      </w:r>
    </w:p>
    <w:p w14:paraId="1330FF98">
      <w:pPr>
        <w:pStyle w:val="29"/>
        <w:numPr>
          <w:ilvl w:val="0"/>
          <w:numId w:val="7"/>
        </w:numPr>
        <w:bidi w:val="0"/>
        <w:ind w:left="425" w:leftChars="0" w:hanging="425" w:firstLineChars="0"/>
      </w:pPr>
      <w:r>
        <w:t>审批报告中出现的重大异常情况</w:t>
      </w:r>
      <w:r>
        <w:rPr>
          <w:rFonts w:hint="eastAsia"/>
          <w:lang w:eastAsia="zh-CN"/>
        </w:rPr>
        <w:t>。</w:t>
      </w:r>
    </w:p>
    <w:p w14:paraId="21C80FD5">
      <w:pPr>
        <w:pStyle w:val="29"/>
        <w:numPr>
          <w:ilvl w:val="0"/>
          <w:numId w:val="7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t>指导和监督SLA的履行情况</w:t>
      </w:r>
      <w:r>
        <w:rPr>
          <w:rFonts w:hint="eastAsia"/>
          <w:lang w:eastAsia="zh-CN"/>
        </w:rPr>
        <w:t>。</w:t>
      </w:r>
    </w:p>
    <w:p w14:paraId="7DE9305C">
      <w:pPr>
        <w:pStyle w:val="28"/>
        <w:bidi w:val="0"/>
        <w:rPr>
          <w:rFonts w:hint="default"/>
          <w:lang w:val="en-US" w:eastAsia="zh-CN"/>
        </w:rPr>
      </w:pPr>
      <w:bookmarkStart w:id="8" w:name="_Toc6136"/>
      <w:r>
        <w:rPr>
          <w:rFonts w:hint="eastAsia"/>
          <w:lang w:val="en-US" w:eastAsia="zh-CN"/>
        </w:rPr>
        <w:t>服务报告管理流程</w:t>
      </w:r>
      <w:bookmarkEnd w:id="8"/>
    </w:p>
    <w:p w14:paraId="749EAB19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服务报告流程如图5-1所示。</w:t>
      </w:r>
    </w:p>
    <w:p w14:paraId="058CA4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4EE4D81">
      <w:pPr>
        <w:pStyle w:val="29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服务报告流程</w:t>
      </w:r>
    </w:p>
    <w:p w14:paraId="31EF391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413.8pt;width:403.6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7">
            <o:LockedField>false</o:LockedField>
          </o:OLEObject>
        </w:object>
      </w:r>
    </w:p>
    <w:p w14:paraId="0B0D0E85">
      <w:pPr>
        <w:pStyle w:val="30"/>
        <w:bidi w:val="0"/>
        <w:rPr>
          <w:rFonts w:hint="default"/>
          <w:lang w:val="en-US" w:eastAsia="zh-CN"/>
        </w:rPr>
      </w:pPr>
      <w:bookmarkStart w:id="9" w:name="_Toc22238"/>
      <w:r>
        <w:rPr>
          <w:rFonts w:hint="eastAsia"/>
          <w:lang w:val="en-US" w:eastAsia="zh-CN"/>
        </w:rPr>
        <w:t>过程描述</w:t>
      </w:r>
      <w:bookmarkEnd w:id="9"/>
    </w:p>
    <w:p w14:paraId="4BF11F6A">
      <w:pPr>
        <w:pStyle w:val="31"/>
        <w:bidi w:val="0"/>
        <w:rPr>
          <w:rFonts w:hint="default"/>
          <w:lang w:val="en-US" w:eastAsia="zh-CN"/>
        </w:rPr>
      </w:pPr>
      <w:bookmarkStart w:id="10" w:name="_Toc19262"/>
      <w:r>
        <w:rPr>
          <w:rFonts w:hint="default"/>
          <w:lang w:val="en-US" w:eastAsia="zh-CN"/>
        </w:rPr>
        <w:t>报告分类与规划</w:t>
      </w:r>
      <w:bookmarkEnd w:id="10"/>
    </w:p>
    <w:p w14:paraId="4A24115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本环节旨在根据报告的战略目的、使用周期及受众，明确报告类型，为后续工作定下基调。</w:t>
      </w:r>
    </w:p>
    <w:p w14:paraId="7139D596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输入：服务承诺</w:t>
      </w:r>
    </w:p>
    <w:p w14:paraId="73496DB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运维实施工程师依据《服务级别协议（SLA）》的约定、客户特定要求及内部管理需要，于报告周期起始时，明确本期需编制的服务报告类型。报告主要分类包括：</w:t>
      </w:r>
    </w:p>
    <w:p w14:paraId="6DC145D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日常/周报：用于快速同步系统状态与待办事项，周期短，内容精炼。</w:t>
      </w:r>
    </w:p>
    <w:p w14:paraId="1C519B7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月度服务报告：核心报告，用于全面评估SLA达成情况，分析服务趋势与质量。</w:t>
      </w:r>
    </w:p>
    <w:p w14:paraId="197EFD9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季度/年度总结报告：用于战略复盘，展示长期服务价值与规划未来方向。</w:t>
      </w:r>
    </w:p>
    <w:p w14:paraId="5C61A1A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专项报告：针对重大事件、专项检查或项目进行的深度分析报告。</w:t>
      </w:r>
    </w:p>
    <w:p w14:paraId="3D008B51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SLA合规性报告：正式证明服务达标情况的契约性文件。</w:t>
      </w:r>
    </w:p>
    <w:p w14:paraId="4724698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计划制定：根据报告类型，明确各报告的负责人、主要数据来源、初稿截止日期与最终交付日期，形成《本期报告编制计划》。</w:t>
      </w:r>
    </w:p>
    <w:p w14:paraId="3C740DC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输出：《报告编制计划》（含明确的报告类型、责任人及时间表）。</w:t>
      </w:r>
    </w:p>
    <w:p w14:paraId="5A5A1F88">
      <w:pPr>
        <w:pStyle w:val="31"/>
        <w:bidi w:val="0"/>
        <w:rPr>
          <w:rFonts w:hint="default"/>
          <w:lang w:val="en-US" w:eastAsia="zh-CN"/>
        </w:rPr>
      </w:pPr>
      <w:bookmarkStart w:id="11" w:name="_Toc4249"/>
      <w:r>
        <w:rPr>
          <w:rFonts w:hint="default"/>
          <w:lang w:val="en-US" w:eastAsia="zh-CN"/>
        </w:rPr>
        <w:t>识别报告要素</w:t>
      </w:r>
      <w:bookmarkEnd w:id="11"/>
    </w:p>
    <w:p w14:paraId="794EE12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本环节根据已确定的报告类型，细化其独特的内容与度量标准。</w:t>
      </w:r>
    </w:p>
    <w:p w14:paraId="4A7EDAE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输入：《本期报告编制计划》、《服务级别协议（SLA）》。</w:t>
      </w:r>
    </w:p>
    <w:p w14:paraId="62FE421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运维实施工程师针对每一类报告，与服务对象（客户或内部管理层）及部门经理确认关键数据、绩效指标（KPI）、详细程度及呈现格式。例如，月报需聚焦SLA指标分析，而专项报告则需深入根因分析。</w:t>
      </w:r>
    </w:p>
    <w:p w14:paraId="1F0D0A7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输出：各类报告对应的《具体内容与指标清单》。</w:t>
      </w:r>
    </w:p>
    <w:p w14:paraId="58FDF818">
      <w:pPr>
        <w:pStyle w:val="31"/>
        <w:bidi w:val="0"/>
        <w:rPr>
          <w:rFonts w:hint="default"/>
          <w:lang w:val="en-US" w:eastAsia="zh-CN"/>
        </w:rPr>
      </w:pPr>
      <w:bookmarkStart w:id="12" w:name="_Toc30727"/>
      <w:r>
        <w:rPr>
          <w:rFonts w:hint="default"/>
          <w:lang w:val="en-US" w:eastAsia="zh-CN"/>
        </w:rPr>
        <w:t>收集与分析报告数据</w:t>
      </w:r>
      <w:bookmarkEnd w:id="12"/>
    </w:p>
    <w:p w14:paraId="706BCB0F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输入：根据《具体内容与指标清单》，从监控、工单、变更等系统中收集原始数据。</w:t>
      </w:r>
    </w:p>
    <w:p w14:paraId="48CDCE7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运维实施工程师系统性地收集、清洗数据，并依据报告类型进行针对性分析。例如，为月报进行趋势与可用性计算，为专项报告进行根因深度挖掘。</w:t>
      </w:r>
    </w:p>
    <w:p w14:paraId="58E7F527">
      <w:pPr>
        <w:pStyle w:val="31"/>
        <w:bidi w:val="0"/>
        <w:rPr>
          <w:rFonts w:hint="default"/>
          <w:lang w:val="en-US" w:eastAsia="zh-CN"/>
        </w:rPr>
      </w:pPr>
      <w:bookmarkStart w:id="13" w:name="_Toc32367"/>
      <w:r>
        <w:rPr>
          <w:rFonts w:hint="default"/>
          <w:lang w:val="en-US" w:eastAsia="zh-CN"/>
        </w:rPr>
        <w:t>编写服务报告</w:t>
      </w:r>
      <w:bookmarkEnd w:id="13"/>
    </w:p>
    <w:p w14:paraId="7111A3D1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输入：《数据分析结果》、公司对应的标准化报告模板。</w:t>
      </w:r>
    </w:p>
    <w:p w14:paraId="54222E6F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运维实施工程师选用与报告类型匹配的模板进行编写，确保内容与形式符合既定要求，并完成初稿自查。</w:t>
      </w:r>
    </w:p>
    <w:p w14:paraId="369B47D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输出：《运维服务报告》。</w:t>
      </w:r>
    </w:p>
    <w:p w14:paraId="3BC574E2">
      <w:pPr>
        <w:pStyle w:val="31"/>
        <w:bidi w:val="0"/>
        <w:rPr>
          <w:rFonts w:hint="default"/>
          <w:lang w:val="en-US" w:eastAsia="zh-CN"/>
        </w:rPr>
      </w:pPr>
      <w:bookmarkStart w:id="14" w:name="_Toc19344"/>
      <w:r>
        <w:rPr>
          <w:rFonts w:hint="default"/>
          <w:lang w:val="en-US" w:eastAsia="zh-CN"/>
        </w:rPr>
        <w:t>服务报告评审</w:t>
      </w:r>
      <w:bookmarkEnd w:id="14"/>
    </w:p>
    <w:p w14:paraId="37C210D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分级评审：</w:t>
      </w:r>
    </w:p>
    <w:p w14:paraId="514DCC39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日常/周报可由工程师互审。</w:t>
      </w:r>
    </w:p>
    <w:p w14:paraId="2E02452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月度、季度、年度及SLA合规性报告必须提交至部门经理进行技术与内容评审。</w:t>
      </w:r>
    </w:p>
    <w:p w14:paraId="1EEE5F2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涉及重大事项、SLA严重未达成或需资源投入的专项报告，必须报请公司主管领导审核。</w:t>
      </w:r>
    </w:p>
    <w:p w14:paraId="6BF8BA0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修订与确认：根据评审意见修改报告，并保留评审记录。</w:t>
      </w:r>
    </w:p>
    <w:p w14:paraId="47F681F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输出：《评审记录》。</w:t>
      </w:r>
    </w:p>
    <w:p w14:paraId="599E3288">
      <w:pPr>
        <w:pStyle w:val="31"/>
        <w:bidi w:val="0"/>
        <w:rPr>
          <w:rFonts w:hint="default"/>
          <w:lang w:val="en-US" w:eastAsia="zh-CN"/>
        </w:rPr>
      </w:pPr>
      <w:bookmarkStart w:id="15" w:name="_Toc16342"/>
      <w:r>
        <w:rPr>
          <w:rFonts w:hint="default"/>
          <w:lang w:val="en-US" w:eastAsia="zh-CN"/>
        </w:rPr>
        <w:t>服务报告的批准、提交与分发</w:t>
      </w:r>
      <w:bookmarkEnd w:id="15"/>
    </w:p>
    <w:p w14:paraId="4D4D767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本环节确保报告以正确的方式交付给正确的对象，实现其管理价值。</w:t>
      </w:r>
    </w:p>
    <w:p w14:paraId="480A216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输入：《运维服务报告》。</w:t>
      </w:r>
    </w:p>
    <w:p w14:paraId="71F05AD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正式批准：报告依次提交至运维部</w:t>
      </w:r>
      <w:r>
        <w:rPr>
          <w:rFonts w:hint="eastAsia"/>
          <w:lang w:val="en-US" w:eastAsia="zh-CN"/>
        </w:rPr>
        <w:t>经理</w:t>
      </w:r>
      <w:r>
        <w:rPr>
          <w:rFonts w:hint="default"/>
          <w:lang w:val="en-US" w:eastAsia="zh-CN"/>
        </w:rPr>
        <w:t>与管理代表（行政批准），完成最终签核。</w:t>
      </w:r>
    </w:p>
    <w:p w14:paraId="603F55E1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分发执行：根据报告分类，执行标准化分发：</w:t>
      </w:r>
    </w:p>
    <w:p w14:paraId="2F72B34F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分发对象：</w:t>
      </w:r>
    </w:p>
    <w:p w14:paraId="097E6C81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致客户报告：发送至客户合同约定的接口人及其管理层。SLA合规性报告须额外发送至客户采购或法务部门。</w:t>
      </w:r>
    </w:p>
    <w:p w14:paraId="40D0AF69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内部报告：同步至公司内部相关技术团队、运维管理人员及主管领导。</w:t>
      </w:r>
    </w:p>
    <w:p w14:paraId="1EF487A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分发方式与时效：</w:t>
      </w:r>
    </w:p>
    <w:p w14:paraId="3B3BB7A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日常/周报通过内部协作工具或邮件，于周期结束后1个工作日内发出。</w:t>
      </w:r>
    </w:p>
    <w:p w14:paraId="41A5EFD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月度、季度等正式报告通过正式邮件（附PDF签章版）及客户门户系统提交，于约定日期（如次月前5个工作日）内发出。</w:t>
      </w:r>
    </w:p>
    <w:p w14:paraId="56A562C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重大专项报告通过正式渠道发送后，可辅以会议汇报。</w:t>
      </w:r>
    </w:p>
    <w:p w14:paraId="70A85A7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交付确认：对于关键报告，可通过回执或友好跟进的方式确认客户接收。</w:t>
      </w:r>
    </w:p>
    <w:p w14:paraId="632C3C4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输出：已分发归档的《运维服务报告（正式版）》及《报告分发记录》。</w:t>
      </w:r>
    </w:p>
    <w:p w14:paraId="157401EE">
      <w:pPr>
        <w:pStyle w:val="31"/>
        <w:bidi w:val="0"/>
        <w:rPr>
          <w:rFonts w:hint="default"/>
          <w:lang w:val="en-US" w:eastAsia="zh-CN"/>
        </w:rPr>
      </w:pPr>
      <w:bookmarkStart w:id="16" w:name="_Toc6645"/>
      <w:r>
        <w:rPr>
          <w:rFonts w:hint="default"/>
          <w:lang w:val="en-US" w:eastAsia="zh-CN"/>
        </w:rPr>
        <w:t>服务报告归档</w:t>
      </w:r>
      <w:bookmarkEnd w:id="16"/>
    </w:p>
    <w:p w14:paraId="3085E61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将正式报告、所有版本的评审记录、分发记录及相关数据分析摘要，按照文档管理规范，存储至指定知识库或档案系统，并建立清晰索引。</w:t>
      </w:r>
    </w:p>
    <w:p w14:paraId="2A4DAC7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输出：完整归档的报告系列文档。</w:t>
      </w:r>
    </w:p>
    <w:p w14:paraId="5EA8DB58">
      <w:pPr>
        <w:pStyle w:val="31"/>
        <w:bidi w:val="0"/>
        <w:rPr>
          <w:rFonts w:hint="default"/>
          <w:lang w:val="en-US" w:eastAsia="zh-CN"/>
        </w:rPr>
      </w:pPr>
      <w:bookmarkStart w:id="17" w:name="_Toc18672"/>
      <w:r>
        <w:rPr>
          <w:rFonts w:hint="default"/>
          <w:lang w:val="en-US" w:eastAsia="zh-CN"/>
        </w:rPr>
        <w:t>反馈与持续改进</w:t>
      </w:r>
      <w:bookmarkEnd w:id="17"/>
    </w:p>
    <w:p w14:paraId="4CD9165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定期收集来自报告阅读者（客户与内部管理层）的反馈，评估报告内容的实用性与有效性。结合业务发展，在下一个报告周期开始前，对报告的分类、模板、指标或流程本身进行优化调整。</w:t>
      </w:r>
    </w:p>
    <w:p w14:paraId="15F9CEC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输出：《服务报告流程改进建议》，用于更新后续的《报告编制计划》与《内容指标清单》。</w:t>
      </w:r>
    </w:p>
    <w:p w14:paraId="741DEF77">
      <w:pPr>
        <w:pStyle w:val="30"/>
        <w:bidi w:val="0"/>
        <w:rPr>
          <w:rFonts w:hint="default"/>
          <w:lang w:val="en-US" w:eastAsia="zh-CN"/>
        </w:rPr>
      </w:pPr>
      <w:bookmarkStart w:id="18" w:name="_Toc27344"/>
      <w:bookmarkStart w:id="19" w:name="_Toc7528"/>
      <w:r>
        <w:rPr>
          <w:rFonts w:hint="eastAsia"/>
          <w:lang w:val="en-US" w:eastAsia="zh-CN"/>
        </w:rPr>
        <w:t>考核指标</w:t>
      </w:r>
      <w:bookmarkEnd w:id="18"/>
      <w:bookmarkEnd w:id="19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3"/>
        <w:gridCol w:w="4076"/>
        <w:gridCol w:w="1254"/>
        <w:gridCol w:w="1459"/>
      </w:tblGrid>
      <w:tr w14:paraId="3FC45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250F1E0F">
            <w:pPr>
              <w:widowControl w:val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指标度量项</w:t>
            </w:r>
          </w:p>
        </w:tc>
        <w:tc>
          <w:tcPr>
            <w:tcW w:w="4076" w:type="dxa"/>
          </w:tcPr>
          <w:p w14:paraId="6D07C1CF">
            <w:pPr>
              <w:widowControl w:val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计算公司</w:t>
            </w:r>
          </w:p>
        </w:tc>
        <w:tc>
          <w:tcPr>
            <w:tcW w:w="1254" w:type="dxa"/>
          </w:tcPr>
          <w:p w14:paraId="19D87FC0">
            <w:pPr>
              <w:widowControl w:val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频次</w:t>
            </w:r>
          </w:p>
        </w:tc>
        <w:tc>
          <w:tcPr>
            <w:tcW w:w="1459" w:type="dxa"/>
          </w:tcPr>
          <w:p w14:paraId="3056BE1C">
            <w:pPr>
              <w:widowControl w:val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目标值</w:t>
            </w:r>
          </w:p>
        </w:tc>
      </w:tr>
      <w:tr w14:paraId="58210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1733" w:type="dxa"/>
            <w:shd w:val="clear" w:color="auto" w:fill="auto"/>
          </w:tcPr>
          <w:p w14:paraId="55456D58"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服务报告按时交付率</w:t>
            </w:r>
          </w:p>
        </w:tc>
        <w:tc>
          <w:tcPr>
            <w:tcW w:w="4076" w:type="dxa"/>
            <w:shd w:val="clear" w:color="auto" w:fill="auto"/>
          </w:tcPr>
          <w:p w14:paraId="3BC565B9"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服务报告按时交付数/服务报告总数</w:t>
            </w:r>
            <w:r>
              <w:rPr>
                <w:rFonts w:hint="eastAsia"/>
                <w:lang w:eastAsia="zh-CN"/>
              </w:rPr>
              <w:t>*</w:t>
            </w:r>
            <w:r>
              <w:rPr>
                <w:rFonts w:hint="eastAsia"/>
              </w:rPr>
              <w:t>100%</w:t>
            </w:r>
          </w:p>
        </w:tc>
        <w:tc>
          <w:tcPr>
            <w:tcW w:w="1254" w:type="dxa"/>
            <w:shd w:val="clear" w:color="auto" w:fill="auto"/>
          </w:tcPr>
          <w:p w14:paraId="2289E460"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每季度</w:t>
            </w:r>
          </w:p>
        </w:tc>
        <w:tc>
          <w:tcPr>
            <w:tcW w:w="1459" w:type="dxa"/>
            <w:shd w:val="clear" w:color="auto" w:fill="auto"/>
          </w:tcPr>
          <w:p w14:paraId="287594C1">
            <w:pPr>
              <w:widowContro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100%</w:t>
            </w:r>
          </w:p>
        </w:tc>
      </w:tr>
      <w:tr w14:paraId="112E5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0" w:type="auto"/>
            <w:shd w:val="clear" w:color="auto" w:fill="auto"/>
          </w:tcPr>
          <w:p w14:paraId="3C71AB6E"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服务报告审核率</w:t>
            </w:r>
          </w:p>
        </w:tc>
        <w:tc>
          <w:tcPr>
            <w:tcW w:w="4076" w:type="dxa"/>
            <w:shd w:val="clear" w:color="auto" w:fill="auto"/>
          </w:tcPr>
          <w:p w14:paraId="2842B0CD"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服务发布前按程序审核数/服务报告总数</w:t>
            </w:r>
            <w:r>
              <w:rPr>
                <w:rFonts w:hint="eastAsia"/>
                <w:lang w:eastAsia="zh-CN"/>
              </w:rPr>
              <w:t>*</w:t>
            </w:r>
            <w:r>
              <w:rPr>
                <w:rFonts w:hint="eastAsia"/>
              </w:rPr>
              <w:t>100%</w:t>
            </w:r>
          </w:p>
        </w:tc>
        <w:tc>
          <w:tcPr>
            <w:tcW w:w="1254" w:type="dxa"/>
            <w:shd w:val="clear" w:color="auto" w:fill="auto"/>
          </w:tcPr>
          <w:p w14:paraId="5A7D5453"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每季度</w:t>
            </w:r>
          </w:p>
        </w:tc>
        <w:tc>
          <w:tcPr>
            <w:tcW w:w="0" w:type="auto"/>
            <w:shd w:val="clear" w:color="auto" w:fill="auto"/>
          </w:tcPr>
          <w:p w14:paraId="645C3728">
            <w:pPr>
              <w:widowContro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100%</w:t>
            </w:r>
          </w:p>
        </w:tc>
      </w:tr>
    </w:tbl>
    <w:p w14:paraId="13A84B19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20" w:name="bookmark3"/>
      <w:bookmarkEnd w:id="20"/>
      <w:bookmarkStart w:id="21" w:name="_Toc17424"/>
      <w:bookmarkStart w:id="22" w:name="_Toc28533"/>
      <w:r>
        <w:rPr>
          <w:rStyle w:val="38"/>
          <w:rFonts w:hint="eastAsia" w:eastAsia="宋体"/>
          <w:lang w:val="en-US" w:eastAsia="zh-CN"/>
        </w:rPr>
        <w:t>附则</w:t>
      </w:r>
      <w:bookmarkEnd w:id="21"/>
      <w:bookmarkEnd w:id="22"/>
    </w:p>
    <w:p w14:paraId="00E16ADD"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运维部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7D15F1D5"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1E322046">
      <w:pPr>
        <w:pStyle w:val="28"/>
        <w:bidi w:val="0"/>
        <w:rPr>
          <w:rFonts w:hint="default"/>
          <w:lang w:val="en-US" w:eastAsia="zh-CN"/>
        </w:rPr>
      </w:pPr>
      <w:bookmarkStart w:id="23" w:name="bookmark14"/>
      <w:bookmarkEnd w:id="23"/>
      <w:bookmarkStart w:id="24" w:name="_Toc28642"/>
      <w:bookmarkStart w:id="25" w:name="_Toc21084"/>
      <w:r>
        <w:rPr>
          <w:rFonts w:hint="eastAsia"/>
          <w:lang w:val="en-US" w:eastAsia="zh-CN"/>
        </w:rPr>
        <w:t>附件</w:t>
      </w:r>
      <w:bookmarkEnd w:id="24"/>
      <w:bookmarkEnd w:id="25"/>
    </w:p>
    <w:p w14:paraId="0E11619E">
      <w:pPr>
        <w:pStyle w:val="39"/>
        <w:bidi w:val="0"/>
      </w:pPr>
      <w:r>
        <w:t>《事件管理</w:t>
      </w:r>
      <w:r>
        <w:rPr>
          <w:rFonts w:hint="eastAsia"/>
          <w:lang w:val="en-US" w:eastAsia="zh-CN"/>
        </w:rPr>
        <w:t>制度</w:t>
      </w:r>
      <w:r>
        <w:t>》</w:t>
      </w:r>
    </w:p>
    <w:p w14:paraId="088A5EE7">
      <w:pPr>
        <w:pStyle w:val="39"/>
        <w:bidi w:val="0"/>
      </w:pPr>
      <w:r>
        <w:t>《问题管理</w:t>
      </w:r>
      <w:r>
        <w:rPr>
          <w:rFonts w:hint="eastAsia"/>
          <w:lang w:val="en-US" w:eastAsia="zh-CN"/>
        </w:rPr>
        <w:t>制度</w:t>
      </w:r>
      <w:r>
        <w:t>》</w:t>
      </w:r>
    </w:p>
    <w:p w14:paraId="513D5BF1">
      <w:pPr>
        <w:pStyle w:val="39"/>
        <w:bidi w:val="0"/>
      </w:pPr>
      <w:r>
        <w:t>《变更管理</w:t>
      </w:r>
      <w:r>
        <w:rPr>
          <w:rFonts w:hint="eastAsia"/>
          <w:lang w:eastAsia="zh-CN"/>
        </w:rPr>
        <w:t>制度</w:t>
      </w:r>
      <w:r>
        <w:t>》</w:t>
      </w:r>
    </w:p>
    <w:p w14:paraId="0B773CE4">
      <w:pPr>
        <w:pStyle w:val="39"/>
        <w:bidi w:val="0"/>
      </w:pPr>
      <w:r>
        <w:t>《发布管理</w:t>
      </w:r>
      <w:r>
        <w:rPr>
          <w:rFonts w:hint="eastAsia"/>
          <w:lang w:eastAsia="zh-CN"/>
        </w:rPr>
        <w:t>制度</w:t>
      </w:r>
      <w:r>
        <w:t>》</w:t>
      </w:r>
    </w:p>
    <w:p w14:paraId="24BE2B16">
      <w:pPr>
        <w:pStyle w:val="39"/>
        <w:bidi w:val="0"/>
      </w:pPr>
      <w:r>
        <w:t>《配置管理</w:t>
      </w:r>
      <w:r>
        <w:rPr>
          <w:rFonts w:hint="eastAsia"/>
          <w:lang w:eastAsia="zh-CN"/>
        </w:rPr>
        <w:t>制度</w:t>
      </w:r>
      <w:r>
        <w:t>》</w:t>
      </w:r>
    </w:p>
    <w:p w14:paraId="422CC98C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服务可用性和连续性管理制度</w:t>
      </w:r>
      <w:r>
        <w:rPr>
          <w:rFonts w:hint="eastAsia"/>
          <w:lang w:eastAsia="zh-CN"/>
        </w:rPr>
        <w:t>》</w:t>
      </w:r>
    </w:p>
    <w:p w14:paraId="613CFC76"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容量管理制度</w:t>
      </w:r>
      <w:r>
        <w:rPr>
          <w:rFonts w:hint="eastAsia"/>
          <w:lang w:eastAsia="zh-CN"/>
        </w:rPr>
        <w:t>》</w:t>
      </w:r>
    </w:p>
    <w:p w14:paraId="06B64D71">
      <w:pPr>
        <w:pStyle w:val="39"/>
        <w:bidi w:val="0"/>
      </w:pPr>
      <w:r>
        <w:t>《信息安全管理</w:t>
      </w:r>
      <w:r>
        <w:rPr>
          <w:rFonts w:hint="eastAsia"/>
          <w:lang w:eastAsia="zh-CN"/>
        </w:rPr>
        <w:t>制度</w:t>
      </w:r>
      <w:r>
        <w:t>》</w:t>
      </w:r>
    </w:p>
    <w:p w14:paraId="0852A40E">
      <w:pPr>
        <w:pStyle w:val="28"/>
        <w:bidi w:val="0"/>
        <w:rPr>
          <w:rFonts w:hint="eastAsia"/>
          <w:lang w:val="en-US" w:eastAsia="zh-CN"/>
        </w:rPr>
      </w:pPr>
      <w:bookmarkStart w:id="26" w:name="_Toc7187"/>
      <w:r>
        <w:rPr>
          <w:rFonts w:hint="eastAsia"/>
          <w:lang w:val="en-US" w:eastAsia="zh-CN"/>
        </w:rPr>
        <w:t>记录</w:t>
      </w:r>
      <w:bookmarkEnd w:id="26"/>
    </w:p>
    <w:p w14:paraId="1F775764">
      <w:pPr>
        <w:pStyle w:val="39"/>
        <w:bidi w:val="0"/>
      </w:pPr>
      <w:r>
        <w:t>《服务级别</w:t>
      </w:r>
      <w:r>
        <w:rPr>
          <w:rFonts w:hint="eastAsia"/>
          <w:lang w:val="en-US" w:eastAsia="zh-CN"/>
        </w:rPr>
        <w:t>管理制度</w:t>
      </w:r>
      <w:r>
        <w:t>》</w:t>
      </w:r>
    </w:p>
    <w:p w14:paraId="2C1539B0">
      <w:pPr>
        <w:pStyle w:val="39"/>
        <w:bidi w:val="0"/>
        <w:rPr>
          <w:rFonts w:hint="eastAsia"/>
          <w:lang w:val="en-US" w:eastAsia="zh-CN"/>
        </w:rPr>
      </w:pPr>
      <w:r>
        <w:t>《服务报告》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DD1704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9E3D769"/>
    <w:multiLevelType w:val="singleLevel"/>
    <w:tmpl w:val="A9E3D769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7BEB97D"/>
    <w:multiLevelType w:val="singleLevel"/>
    <w:tmpl w:val="17BEB97D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2F91922A"/>
    <w:multiLevelType w:val="singleLevel"/>
    <w:tmpl w:val="2F91922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43039D79"/>
    <w:multiLevelType w:val="singleLevel"/>
    <w:tmpl w:val="43039D7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5BC57681"/>
    <w:multiLevelType w:val="multilevel"/>
    <w:tmpl w:val="5BC57681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4200" w:leftChars="0" w:hanging="420" w:firstLineChars="0"/>
      </w:pPr>
      <w:rPr>
        <w:rFonts w:hint="default"/>
      </w:rPr>
    </w:lvl>
  </w:abstractNum>
  <w:abstractNum w:abstractNumId="7">
    <w:nsid w:val="6B8D972C"/>
    <w:multiLevelType w:val="singleLevel"/>
    <w:tmpl w:val="6B8D972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6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0803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emf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2680</Words>
  <Characters>2840</Characters>
  <Lines>0</Lines>
  <Paragraphs>0</Paragraphs>
  <TotalTime>0</TotalTime>
  <ScaleCrop>false</ScaleCrop>
  <LinksUpToDate>false</LinksUpToDate>
  <CharactersWithSpaces>2886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2026-06-03T13:45:11Z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