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A602A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03DA7D0D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02F6B4F">
      <w:pPr>
        <w:pStyle w:val="24"/>
        <w:widowControl w:val="0"/>
        <w:spacing w:after="1872"/>
        <w:rPr>
          <w:lang w:eastAsia="zh-CN"/>
        </w:rPr>
      </w:pPr>
      <w:bookmarkStart w:id="0" w:name="_Toc22278"/>
      <w:bookmarkStart w:id="1" w:name="_Toc31781"/>
      <w:r>
        <w:rPr>
          <w:lang w:eastAsia="zh-CN"/>
        </w:rPr>
        <w:t>天津通海信息技术有限公司</w:t>
      </w:r>
      <w:bookmarkEnd w:id="0"/>
      <w:bookmarkEnd w:id="1"/>
    </w:p>
    <w:p w14:paraId="3FFDE3E9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8615"/>
      <w:r>
        <w:rPr>
          <w:rFonts w:hint="eastAsia"/>
          <w:lang w:eastAsia="zh-CN"/>
        </w:rPr>
        <w:t>过程框架设计会议纪要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ED0A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C4348F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0FB47F2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343AA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A1AC86D">
            <w:pPr>
              <w:widowControl w:val="0"/>
              <w:jc w:val="both"/>
              <w:rPr>
                <w:rFonts w:hint="default" w:eastAsia="Arial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6C412178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11" w:name="_GoBack"/>
            <w:bookmarkEnd w:id="11"/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5891B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49C468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3257281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60A31D5A">
      <w:pPr>
        <w:widowControl w:val="0"/>
      </w:pPr>
      <w:r>
        <w:br w:type="page"/>
      </w:r>
    </w:p>
    <w:p w14:paraId="4994BE88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6B44D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C83D748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2AB7339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FA856AB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3A87A0C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C1CFD1B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939F9FD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58594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A940085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3D76B19A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AF455EB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3420597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487E063C">
            <w:pPr>
              <w:widowControl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082E7A17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45B23A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2B68F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B83E90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8079F2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E143A8D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8FC88E6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55BF739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7968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FEC3AF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65EEC6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ED2B23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668F575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164B0C2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053986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22516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92AC16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822354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6593A8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5FC211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2F8364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1CE22C4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3751D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FF0F76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3D8D43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9D148C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D4309A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782AE9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DE1C326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51CAA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2DC0A0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62D9C1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407F6A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1062F4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633A0B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AF55611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3F68B50D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66FAF6F0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2BE62A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_Toc31781 </w:instrText>
          </w:r>
          <w: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_Toc31781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8487E8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_Toc8615 </w:instrText>
          </w:r>
          <w:r>
            <w:fldChar w:fldCharType="separate"/>
          </w:r>
          <w:r>
            <w:rPr>
              <w:rFonts w:hint="eastAsia"/>
              <w:lang w:eastAsia="zh-CN"/>
            </w:rPr>
            <w:t>过程框架设计会议纪要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040CBD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_Toc17637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会议议程与目标</w:t>
          </w:r>
          <w:r>
            <w:tab/>
          </w:r>
          <w:r>
            <w:fldChar w:fldCharType="begin"/>
          </w:r>
          <w:r>
            <w:instrText xml:space="preserve"> PAGEREF _Toc17637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FFC89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讨论内容与结论</w:t>
          </w:r>
          <w:r>
            <w:tab/>
          </w:r>
          <w:r>
            <w:fldChar w:fldCharType="begin"/>
          </w:r>
          <w:r>
            <w:instrText xml:space="preserve"> PAGEREF _Toc5581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01B56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_Toc20830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rFonts w:hint="eastAsia"/>
              <w:lang w:eastAsia="zh-CN"/>
            </w:rPr>
            <w:t>制度回顾与设计图目的确认</w:t>
          </w:r>
          <w:r>
            <w:tab/>
          </w:r>
          <w:r>
            <w:fldChar w:fldCharType="begin"/>
          </w:r>
          <w:r>
            <w:instrText xml:space="preserve"> PAGEREF _Toc20830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5D297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_Toc14651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rFonts w:hint="eastAsia"/>
              <w:lang w:eastAsia="zh-CN"/>
            </w:rPr>
            <w:t>过程框架管理设计图方案审议</w:t>
          </w:r>
          <w:r>
            <w:tab/>
          </w:r>
          <w:r>
            <w:fldChar w:fldCharType="begin"/>
          </w:r>
          <w:r>
            <w:instrText xml:space="preserve"> PAGEREF _Toc14651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06E17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2.3. </w:t>
          </w:r>
          <w:r>
            <w:rPr>
              <w:rFonts w:hint="eastAsia"/>
              <w:lang w:eastAsia="zh-CN"/>
            </w:rPr>
            <w:t>职责归属与接口界定</w:t>
          </w:r>
          <w:r>
            <w:tab/>
          </w:r>
          <w:r>
            <w:fldChar w:fldCharType="begin"/>
          </w:r>
          <w:r>
            <w:instrText xml:space="preserve"> PAGEREF _Toc421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E8E09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_Toc31065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2.4. </w:t>
          </w:r>
          <w:r>
            <w:rPr>
              <w:rFonts w:hint="eastAsia"/>
              <w:lang w:eastAsia="zh-CN"/>
            </w:rPr>
            <w:t>落地实施初步计划</w:t>
          </w:r>
          <w:r>
            <w:tab/>
          </w:r>
          <w:r>
            <w:fldChar w:fldCharType="begin"/>
          </w:r>
          <w:r>
            <w:instrText xml:space="preserve"> PAGEREF _Toc31065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34746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_Toc27798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会议决议摘要</w:t>
          </w:r>
          <w:r>
            <w:tab/>
          </w:r>
          <w:r>
            <w:fldChar w:fldCharType="begin"/>
          </w:r>
          <w:r>
            <w:instrText xml:space="preserve"> PAGEREF _Toc27798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654574">
          <w:pPr>
            <w:widowControl w:val="0"/>
          </w:pPr>
          <w:r>
            <w:fldChar w:fldCharType="end"/>
          </w:r>
        </w:p>
      </w:sdtContent>
    </w:sdt>
    <w:p w14:paraId="2AB9B6EB">
      <w:pPr>
        <w:widowControl w:val="0"/>
        <w:rPr>
          <w:rFonts w:hint="eastAsia" w:ascii="宋体" w:hAnsi="宋体"/>
        </w:rPr>
      </w:pPr>
      <w:bookmarkStart w:id="3" w:name="bookmark14"/>
      <w:bookmarkEnd w:id="3"/>
      <w:r>
        <w:rPr>
          <w:rFonts w:ascii="宋体" w:hAnsi="宋体"/>
        </w:rPr>
        <w:br w:type="page"/>
      </w:r>
    </w:p>
    <w:p w14:paraId="6A31FBF2">
      <w:pPr>
        <w:pStyle w:val="28"/>
        <w:keepNext w:val="0"/>
        <w:keepLines w:val="0"/>
        <w:widowControl w:val="0"/>
        <w:rPr>
          <w:lang w:eastAsia="zh-CN"/>
        </w:rPr>
      </w:pPr>
      <w:bookmarkStart w:id="4" w:name="_Toc17637"/>
      <w:r>
        <w:rPr>
          <w:rFonts w:hint="eastAsia"/>
          <w:lang w:eastAsia="zh-CN"/>
        </w:rPr>
        <w:t>会议议程与目标</w:t>
      </w:r>
      <w:bookmarkEnd w:id="4"/>
    </w:p>
    <w:p w14:paraId="49F2BB37">
      <w:pPr>
        <w:pStyle w:val="29"/>
        <w:widowControl w:val="0"/>
        <w:ind w:firstLine="480"/>
      </w:pPr>
      <w:r>
        <w:rPr>
          <w:rFonts w:hint="eastAsia"/>
        </w:rPr>
        <w:t>回顾已制定的《过程框架管理制度》核心内容与目标。</w:t>
      </w:r>
    </w:p>
    <w:p w14:paraId="5E38B3B3">
      <w:pPr>
        <w:pStyle w:val="29"/>
        <w:widowControl w:val="0"/>
        <w:ind w:firstLine="480"/>
      </w:pPr>
      <w:r>
        <w:rPr>
          <w:rFonts w:hint="eastAsia"/>
        </w:rPr>
        <w:t>审议并确定“过程框架管理设计图”的初步方案。</w:t>
      </w:r>
    </w:p>
    <w:p w14:paraId="24C69E96">
      <w:pPr>
        <w:pStyle w:val="29"/>
        <w:widowControl w:val="0"/>
        <w:ind w:firstLine="480"/>
      </w:pPr>
      <w:r>
        <w:rPr>
          <w:rFonts w:hint="eastAsia"/>
        </w:rPr>
        <w:t>明确设计图中各模块的职责归属与接口关系。</w:t>
      </w:r>
    </w:p>
    <w:p w14:paraId="7F02DEC4">
      <w:pPr>
        <w:pStyle w:val="29"/>
        <w:widowControl w:val="0"/>
        <w:ind w:firstLine="480"/>
      </w:pPr>
      <w:r>
        <w:rPr>
          <w:rFonts w:hint="eastAsia"/>
        </w:rPr>
        <w:t>确定设计图落地实施的初步行动计划与关键时间节点。</w:t>
      </w:r>
    </w:p>
    <w:p w14:paraId="306F6AE2">
      <w:pPr>
        <w:pStyle w:val="28"/>
        <w:keepNext w:val="0"/>
        <w:keepLines w:val="0"/>
        <w:widowControl w:val="0"/>
        <w:rPr>
          <w:lang w:eastAsia="zh-CN"/>
        </w:rPr>
      </w:pPr>
      <w:bookmarkStart w:id="5" w:name="_Toc5581"/>
      <w:r>
        <w:rPr>
          <w:rFonts w:hint="eastAsia"/>
          <w:lang w:eastAsia="zh-CN"/>
        </w:rPr>
        <w:t>讨论内容与结论</w:t>
      </w:r>
      <w:bookmarkEnd w:id="5"/>
    </w:p>
    <w:p w14:paraId="395C3384">
      <w:pPr>
        <w:pStyle w:val="30"/>
        <w:keepNext w:val="0"/>
        <w:keepLines w:val="0"/>
        <w:widowControl w:val="0"/>
        <w:rPr>
          <w:lang w:eastAsia="zh-CN"/>
        </w:rPr>
      </w:pPr>
      <w:bookmarkStart w:id="6" w:name="_Toc20830"/>
      <w:r>
        <w:rPr>
          <w:rFonts w:hint="eastAsia"/>
          <w:lang w:eastAsia="zh-CN"/>
        </w:rPr>
        <w:t>制度回顾与设计图目的确认</w:t>
      </w:r>
      <w:bookmarkEnd w:id="6"/>
    </w:p>
    <w:p w14:paraId="59E17CA8">
      <w:pPr>
        <w:pStyle w:val="29"/>
        <w:widowControl w:val="0"/>
        <w:ind w:firstLine="480"/>
      </w:pPr>
      <w:r>
        <w:rPr>
          <w:rFonts w:hint="eastAsia"/>
        </w:rPr>
        <w:t>会议一致认为，建立《过程框架管理制度》是规范运维服务交付、提升运营效率与质量、实现持续改进的重要基础。</w:t>
      </w:r>
    </w:p>
    <w:p w14:paraId="215E47B1">
      <w:pPr>
        <w:pStyle w:val="29"/>
        <w:widowControl w:val="0"/>
        <w:ind w:firstLine="480"/>
      </w:pPr>
      <w:r>
        <w:rPr>
          <w:rFonts w:hint="eastAsia"/>
        </w:rPr>
        <w:t>“过程框架管理设计图”作为制度的可视化与结构化呈现，旨在：</w:t>
      </w:r>
    </w:p>
    <w:p w14:paraId="0FF08925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清晰描绘运维核心过程的全景及关联关系。</w:t>
      </w:r>
    </w:p>
    <w:p w14:paraId="4990AE40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明确各过程的输入、输出、控制点与责任人。</w:t>
      </w:r>
    </w:p>
    <w:p w14:paraId="42EDA99C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为流程执行、监控、审计与优化提供直观指引。</w:t>
      </w:r>
    </w:p>
    <w:p w14:paraId="318776C9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确保制度要求与实际操作紧密结合。</w:t>
      </w:r>
    </w:p>
    <w:p w14:paraId="4525E5CD">
      <w:pPr>
        <w:pStyle w:val="30"/>
        <w:keepNext w:val="0"/>
        <w:keepLines w:val="0"/>
        <w:widowControl w:val="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bookmarkStart w:id="7" w:name="_Toc14651"/>
      <w:r>
        <w:rPr>
          <w:rFonts w:hint="eastAsia"/>
          <w:lang w:eastAsia="zh-CN"/>
        </w:rPr>
        <w:t>过程框架管理设计图方案审议</w:t>
      </w:r>
      <w:bookmarkEnd w:id="7"/>
    </w:p>
    <w:p w14:paraId="67C29FAE">
      <w:pPr>
        <w:pStyle w:val="29"/>
        <w:widowControl w:val="0"/>
        <w:ind w:firstLine="480"/>
      </w:pPr>
      <w:r>
        <w:rPr>
          <w:rFonts w:hint="eastAsia"/>
        </w:rPr>
        <w:t>会议审议了由运维部牵头起草的“过程框架管理设计图（草案）”。该草案基于ITIL、ISO 20000等最佳实践，结合公司实际，将运维过程划分为四大领域：</w:t>
      </w:r>
    </w:p>
    <w:p w14:paraId="13C16625">
      <w:pPr>
        <w:pStyle w:val="29"/>
        <w:widowControl w:val="0"/>
        <w:ind w:firstLine="480"/>
      </w:pPr>
      <w:r>
        <w:rPr>
          <w:rFonts w:hint="eastAsia"/>
        </w:rPr>
        <w:t>服务战略与设计领域： 包含服务目录管理、服务水平管理（SLA）、容量与可用性规划等过程。</w:t>
      </w:r>
    </w:p>
    <w:p w14:paraId="2D3D576A">
      <w:pPr>
        <w:pStyle w:val="29"/>
        <w:widowControl w:val="0"/>
        <w:ind w:firstLine="480"/>
      </w:pPr>
      <w:r>
        <w:rPr>
          <w:rFonts w:hint="eastAsia"/>
        </w:rPr>
        <w:t>服务过渡与部署领域：包含变更管理、发布与部署管理、配置管理等过程。</w:t>
      </w:r>
    </w:p>
    <w:p w14:paraId="48310E9B">
      <w:pPr>
        <w:pStyle w:val="29"/>
        <w:widowControl w:val="0"/>
        <w:ind w:firstLine="480"/>
      </w:pPr>
      <w:r>
        <w:rPr>
          <w:rFonts w:hint="eastAsia"/>
        </w:rPr>
        <w:t>服务运营与支持领域：包含事件管理、问题管理、请求履行、运维值班与监控等核心运营过程。</w:t>
      </w:r>
    </w:p>
    <w:p w14:paraId="331D71BF">
      <w:pPr>
        <w:pStyle w:val="29"/>
        <w:widowControl w:val="0"/>
        <w:ind w:firstLine="480"/>
      </w:pPr>
      <w:r>
        <w:rPr>
          <w:rFonts w:hint="eastAsia"/>
        </w:rPr>
        <w:t>持续改进与治理领域：包含服务评审、管理评审、内审、持续改进（PDCA循环）等过程。</w:t>
      </w:r>
    </w:p>
    <w:p w14:paraId="79D11A79">
      <w:pPr>
        <w:pStyle w:val="29"/>
        <w:widowControl w:val="0"/>
        <w:ind w:firstLine="480"/>
      </w:pPr>
      <w:r>
        <w:rPr>
          <w:rFonts w:hint="eastAsia"/>
        </w:rPr>
        <w:t>会议决议：原则通过该框架结构。要求在图示中进一步突出“监控与报告”主线，并清晰标注各过程间的信息流与触发关系。</w:t>
      </w:r>
    </w:p>
    <w:p w14:paraId="2ECAB499">
      <w:pPr>
        <w:pStyle w:val="30"/>
        <w:keepNext w:val="0"/>
        <w:keepLines w:val="0"/>
        <w:widowControl w:val="0"/>
        <w:rPr>
          <w:lang w:eastAsia="zh-CN"/>
        </w:rPr>
      </w:pPr>
      <w:bookmarkStart w:id="8" w:name="_Toc421"/>
      <w:r>
        <w:rPr>
          <w:rFonts w:hint="eastAsia"/>
          <w:lang w:eastAsia="zh-CN"/>
        </w:rPr>
        <w:t>职责归属与接口界定</w:t>
      </w:r>
      <w:bookmarkEnd w:id="8"/>
    </w:p>
    <w:p w14:paraId="56E585AF">
      <w:pPr>
        <w:pStyle w:val="29"/>
        <w:widowControl w:val="0"/>
        <w:ind w:firstLine="480"/>
      </w:pPr>
      <w:r>
        <w:rPr>
          <w:rFonts w:hint="eastAsia"/>
        </w:rPr>
        <w:t>会议明确了设计图中各主要过程的关联关系：</w:t>
      </w:r>
    </w:p>
    <w:p w14:paraId="6849135F">
      <w:pPr>
        <w:pStyle w:val="29"/>
        <w:widowControl w:val="0"/>
        <w:ind w:firstLine="480"/>
      </w:pPr>
      <w:r>
        <w:rPr>
          <w:rFonts w:hint="eastAsia"/>
        </w:rPr>
        <w:t>运维部作为大多数运营与支持过程的主导部门，并对服务过渡过程承担关键角色。</w:t>
      </w:r>
    </w:p>
    <w:p w14:paraId="367A7411">
      <w:pPr>
        <w:pStyle w:val="29"/>
        <w:widowControl w:val="0"/>
        <w:ind w:firstLine="480"/>
      </w:pPr>
      <w:r>
        <w:rPr>
          <w:rFonts w:hint="eastAsia"/>
        </w:rPr>
        <w:t>运维部主导容量规划、部分部署技术支持。</w:t>
      </w:r>
    </w:p>
    <w:p w14:paraId="5DEB90BF">
      <w:pPr>
        <w:pStyle w:val="29"/>
        <w:widowControl w:val="0"/>
        <w:ind w:firstLine="480"/>
      </w:pPr>
      <w:r>
        <w:rPr>
          <w:rFonts w:hint="eastAsia"/>
        </w:rPr>
        <w:t>质量部主导持续改进机制、内审及部分流程质量度量。</w:t>
      </w:r>
    </w:p>
    <w:p w14:paraId="69B2F8ED">
      <w:pPr>
        <w:pStyle w:val="29"/>
        <w:widowControl w:val="0"/>
        <w:ind w:firstLine="480"/>
      </w:pPr>
      <w:r>
        <w:rPr>
          <w:rFonts w:hint="eastAsia"/>
        </w:rPr>
        <w:t>运维部和质量部在涉及项目制的变更与发布中提供协同。</w:t>
      </w:r>
    </w:p>
    <w:p w14:paraId="05984F48">
      <w:pPr>
        <w:pStyle w:val="29"/>
        <w:widowControl w:val="0"/>
        <w:ind w:firstLine="480"/>
      </w:pPr>
      <w:r>
        <w:rPr>
          <w:rFonts w:hint="eastAsia"/>
        </w:rPr>
        <w:t>会议决议：过程框架设计图定稿。</w:t>
      </w:r>
    </w:p>
    <w:p w14:paraId="0578AAE2">
      <w:pPr>
        <w:pStyle w:val="30"/>
        <w:keepNext w:val="0"/>
        <w:keepLines w:val="0"/>
        <w:widowControl w:val="0"/>
        <w:rPr>
          <w:lang w:eastAsia="zh-CN"/>
        </w:rPr>
      </w:pPr>
      <w:bookmarkStart w:id="9" w:name="_Toc31065"/>
      <w:r>
        <w:rPr>
          <w:rFonts w:hint="eastAsia"/>
          <w:lang w:eastAsia="zh-CN"/>
        </w:rPr>
        <w:t>落地实施初步计划</w:t>
      </w:r>
      <w:bookmarkEnd w:id="9"/>
    </w:p>
    <w:p w14:paraId="0C16C2CA">
      <w:pPr>
        <w:pStyle w:val="29"/>
        <w:widowControl w:val="0"/>
        <w:ind w:firstLine="480"/>
      </w:pPr>
      <w:r>
        <w:rPr>
          <w:rFonts w:hint="eastAsia"/>
        </w:rPr>
        <w:t>设计图定稿：由运维部根据本次会议意见，于2025年7月15日前完成设计图的修改与美化，并提交给质量部会签。</w:t>
      </w:r>
    </w:p>
    <w:p w14:paraId="62DD447C">
      <w:pPr>
        <w:pStyle w:val="29"/>
        <w:widowControl w:val="0"/>
        <w:ind w:firstLine="480"/>
      </w:pPr>
      <w:r>
        <w:rPr>
          <w:rFonts w:hint="eastAsia"/>
        </w:rPr>
        <w:t>配套细则制定：以设计图为蓝图，各主导部门开始梳理或完善所负责过程的详细操作程序（SOP）、工作模板及关键绩效指标（KPI）。此项工作作为下一阶段重点。</w:t>
      </w:r>
    </w:p>
    <w:p w14:paraId="08E05DB0">
      <w:pPr>
        <w:pStyle w:val="29"/>
        <w:widowControl w:val="0"/>
        <w:ind w:firstLine="480"/>
      </w:pPr>
      <w:r>
        <w:rPr>
          <w:rFonts w:hint="eastAsia"/>
        </w:rPr>
        <w:t>宣贯与培训：计划在2025年7月中旬组织面向运维部及相关部门的制度与设计图专题宣贯会，由运维部和质量部共同主持。</w:t>
      </w:r>
    </w:p>
    <w:p w14:paraId="211C4671">
      <w:pPr>
        <w:pStyle w:val="29"/>
        <w:widowControl w:val="0"/>
        <w:ind w:firstLine="480"/>
      </w:pPr>
      <w:r>
        <w:rPr>
          <w:rFonts w:hint="eastAsia"/>
        </w:rPr>
        <w:t>试点运行与全面推行：初步选定“事件管理”与“变更管理”两个过程依据新框架进行强化运行。视试点情况，逐步全面推行。</w:t>
      </w:r>
    </w:p>
    <w:p w14:paraId="39C7BBC6">
      <w:pPr>
        <w:pStyle w:val="28"/>
        <w:keepNext w:val="0"/>
        <w:keepLines w:val="0"/>
        <w:widowControl w:val="0"/>
        <w:rPr>
          <w:lang w:eastAsia="zh-CN"/>
        </w:rPr>
      </w:pPr>
      <w:bookmarkStart w:id="10" w:name="_Toc27798"/>
      <w:r>
        <w:rPr>
          <w:rFonts w:hint="eastAsia"/>
          <w:lang w:eastAsia="zh-CN"/>
        </w:rPr>
        <w:t>会议决议摘要</w:t>
      </w:r>
      <w:bookmarkEnd w:id="10"/>
    </w:p>
    <w:p w14:paraId="2B72EDED">
      <w:pPr>
        <w:pStyle w:val="29"/>
        <w:widowControl w:val="0"/>
        <w:ind w:firstLine="480"/>
      </w:pPr>
      <w:r>
        <w:rPr>
          <w:rFonts w:hint="eastAsia"/>
        </w:rPr>
        <w:t>通过以服务级别管理、服务报告管理、事件管理、问题管理、变更管理、发布管理、配置管理、服务可用性和连续性、容量管理和信息安全管理等为核心的过程框架管理设计图主体结构。</w:t>
      </w:r>
    </w:p>
    <w:p w14:paraId="02C37E06">
      <w:pPr>
        <w:pStyle w:val="29"/>
        <w:widowControl w:val="0"/>
        <w:ind w:firstLine="480"/>
      </w:pPr>
      <w:r>
        <w:rPr>
          <w:rFonts w:hint="eastAsia"/>
        </w:rPr>
        <w:t>运维部根据会议意见完善设计图，并于指定日期前完成定稿。</w:t>
      </w:r>
    </w:p>
    <w:p w14:paraId="2EA533EB">
      <w:pPr>
        <w:pStyle w:val="29"/>
        <w:widowControl w:val="0"/>
        <w:ind w:firstLine="480"/>
      </w:pPr>
      <w:r>
        <w:rPr>
          <w:rFonts w:hint="eastAsia"/>
        </w:rPr>
        <w:t>明确了各过程模块的职责归属，要求在设计图中予以体现。</w:t>
      </w:r>
    </w:p>
    <w:p w14:paraId="5CB31700">
      <w:pPr>
        <w:pStyle w:val="29"/>
        <w:widowControl w:val="0"/>
        <w:ind w:firstLine="480"/>
      </w:pPr>
      <w:r>
        <w:rPr>
          <w:rFonts w:hint="eastAsia"/>
        </w:rPr>
        <w:t>批准了设计图落地实施的初步时间计划，进入准备阶段。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2566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BA5F7F5"/>
    <w:multiLevelType w:val="singleLevel"/>
    <w:tmpl w:val="4BA5F7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06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1314</Words>
  <Characters>1403</Characters>
  <Lines>96</Lines>
  <Paragraphs>97</Paragraphs>
  <TotalTime>0</TotalTime>
  <ScaleCrop>false</ScaleCrop>
  <LinksUpToDate>false</LinksUpToDate>
  <CharactersWithSpaces>1422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2026-06-03T13:46:55Z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