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CA7864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p w14:paraId="2865C2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632BE467">
      <w:pPr>
        <w:pStyle w:val="24"/>
        <w:keepLines w:val="0"/>
        <w:pageBreakBefore w:val="0"/>
        <w:widowControl w:val="0"/>
        <w:wordWrap/>
        <w:overflowPunct/>
        <w:bidi w:val="0"/>
      </w:pPr>
      <w:bookmarkStart w:id="0" w:name="_Toc22278"/>
      <w:bookmarkStart w:id="1" w:name="_Toc19928"/>
      <w:r>
        <w:rPr>
          <w:rFonts w:hint="eastAsia"/>
          <w:lang w:val="en-US" w:eastAsia="zh-CN"/>
        </w:rPr>
        <w:t>天津通海信息技术有限公司</w:t>
      </w:r>
      <w:bookmarkEnd w:id="0"/>
      <w:bookmarkEnd w:id="1"/>
    </w:p>
    <w:p w14:paraId="50C42B61">
      <w:pPr>
        <w:pStyle w:val="25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31343"/>
      <w:bookmarkStart w:id="3" w:name="_Toc3427"/>
      <w:r>
        <w:rPr>
          <w:rFonts w:hint="eastAsia"/>
          <w:lang w:val="en-US" w:eastAsia="zh-CN"/>
        </w:rPr>
        <w:t>可用性管理计划</w:t>
      </w:r>
      <w:bookmarkEnd w:id="2"/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EFAC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1647A3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6B050EB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7ECD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1BC88D0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2227277E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3" w:name="_GoBack"/>
            <w:bookmarkEnd w:id="3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1DB46A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CC4E82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070571D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30807F3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02910DAB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6C031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</w:trPr>
        <w:tc>
          <w:tcPr>
            <w:tcW w:w="1555" w:type="dxa"/>
          </w:tcPr>
          <w:p w14:paraId="7914B25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13CD9F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EAA950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E3C461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3F57E2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4808B2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06C26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35125D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243A480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9BDC8A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122D88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7BB343B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79B8C8E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7F5190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459BAC3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90BBF4C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357D8401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6D2911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3FBF17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D26573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E41BB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167412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D0154B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D4D983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4EB46A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AA3BBA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42DB46A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BCEAC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EB7D32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9FFED6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5FAE88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604890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60F5F30E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486F6EB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F284B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4DCB80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4312190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C5132A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16A3A3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801E5A9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E4575E7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B606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E8B35C2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6376EDD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A9ECF95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D50F6D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2A16AA8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1C3E97F">
            <w:pPr>
              <w:pStyle w:val="27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121D95B2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83D357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C6658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_Toc19928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_Toc19928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564E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可用性管理计划</w:t>
          </w:r>
          <w:r>
            <w:tab/>
          </w:r>
          <w:r>
            <w:fldChar w:fldCharType="begin"/>
          </w:r>
          <w:r>
            <w:instrText xml:space="preserve"> PAGEREF _Toc31343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4F02C6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_Toc15426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_Toc15426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1AA69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_Toc26740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298F5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_Toc30096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_Toc30096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3EB96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_Toc9492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7667D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_Toc11820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4036FE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可用性工作实施</w:t>
          </w:r>
          <w:r>
            <w:tab/>
          </w:r>
          <w:r>
            <w:fldChar w:fldCharType="begin"/>
          </w:r>
          <w:r>
            <w:instrText xml:space="preserve"> PAGEREF _Toc14184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8AAD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可用性需求</w:t>
          </w:r>
          <w:r>
            <w:tab/>
          </w:r>
          <w:r>
            <w:fldChar w:fldCharType="begin"/>
          </w:r>
          <w:r>
            <w:instrText xml:space="preserve"> PAGEREF _Toc11226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38DAC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检测、维护及恢复方案</w:t>
          </w:r>
          <w:r>
            <w:tab/>
          </w:r>
          <w:r>
            <w:fldChar w:fldCharType="begin"/>
          </w:r>
          <w:r>
            <w:instrText xml:space="preserve"> PAGEREF _Toc25859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29E82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日常维护方案</w:t>
          </w:r>
          <w:r>
            <w:tab/>
          </w:r>
          <w:r>
            <w:fldChar w:fldCharType="begin"/>
          </w:r>
          <w:r>
            <w:instrText xml:space="preserve"> PAGEREF _Toc24885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C39CF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系统恢复方案</w:t>
          </w:r>
          <w:r>
            <w:tab/>
          </w:r>
          <w:r>
            <w:fldChar w:fldCharType="begin"/>
          </w:r>
          <w:r>
            <w:instrText xml:space="preserve"> PAGEREF _Toc29705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DA235F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计划的评审</w:t>
          </w:r>
          <w:r>
            <w:tab/>
          </w:r>
          <w:r>
            <w:fldChar w:fldCharType="begin"/>
          </w:r>
          <w:r>
            <w:instrText xml:space="preserve"> PAGEREF _Toc27139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CC4824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_Toc28329 </w:instrText>
          </w:r>
          <w: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_Toc28329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FBC192">
          <w:r>
            <w:fldChar w:fldCharType="end"/>
          </w:r>
        </w:p>
      </w:sdtContent>
    </w:sdt>
    <w:p w14:paraId="1C7809A4">
      <w:pPr>
        <w:keepLines w:val="0"/>
        <w:pageBreakBefore w:val="0"/>
        <w:widowControl w:val="0"/>
        <w:wordWrap/>
        <w:overflowPunct/>
        <w:bidi w:val="0"/>
        <w:rPr>
          <w:rFonts w:hint="eastAsia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4160507">
      <w:pPr>
        <w:pStyle w:val="28"/>
        <w:keepLines w:val="0"/>
        <w:pageBreakBefore w:val="0"/>
        <w:widowControl w:val="0"/>
        <w:wordWrap/>
        <w:overflowPunct/>
        <w:bidi w:val="0"/>
      </w:pPr>
      <w:bookmarkStart w:id="4" w:name="_Toc15426"/>
      <w:bookmarkStart w:id="5" w:name="_Toc13947"/>
      <w:r>
        <w:t>目的</w:t>
      </w:r>
      <w:bookmarkEnd w:id="4"/>
      <w:bookmarkEnd w:id="5"/>
    </w:p>
    <w:p w14:paraId="2C1F59F9">
      <w:pPr>
        <w:pStyle w:val="29"/>
        <w:keepLines w:val="0"/>
        <w:pageBreakBefore w:val="0"/>
        <w:widowControl w:val="0"/>
        <w:wordWrap/>
        <w:overflowPunct/>
        <w:bidi w:val="0"/>
      </w:pPr>
      <w:r>
        <w:t>实施本可用性计划的核心目的在于，通过规范化的预防性维护和快速响应机制，显著提高运维服务体系中各项措施的实施成功率。确保在发生系统故障或服务中断等关键时刻，所有运维操作均有据可依、有章可循，能够严格按既定计划执行，从而保障业务连续性，最大化系统与服务的可用性。</w:t>
      </w:r>
    </w:p>
    <w:p w14:paraId="763958D4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6740"/>
      <w:bookmarkStart w:id="7" w:name="_Toc25818"/>
      <w:r>
        <w:rPr>
          <w:rFonts w:hint="eastAsia"/>
          <w:lang w:val="en-US" w:eastAsia="zh-CN"/>
        </w:rPr>
        <w:t>原则</w:t>
      </w:r>
      <w:bookmarkEnd w:id="6"/>
      <w:bookmarkEnd w:id="7"/>
    </w:p>
    <w:p w14:paraId="3278F7A2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</w:t>
      </w:r>
    </w:p>
    <w:p w14:paraId="30ABA707">
      <w:pPr>
        <w:pStyle w:val="2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通过主动的监控、巡检和预防性维护，最大限度地预防故障发生，而非被动响应。</w:t>
      </w:r>
    </w:p>
    <w:p w14:paraId="2482401A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连续性</w:t>
      </w:r>
    </w:p>
    <w:p w14:paraId="096A5129">
      <w:pPr>
        <w:pStyle w:val="2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所有活动的最终目标是保障和支持客户的业务连续、稳定运行。</w:t>
      </w:r>
    </w:p>
    <w:p w14:paraId="7180341C">
      <w:pPr>
        <w:pStyle w:val="29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</w:t>
      </w:r>
    </w:p>
    <w:p w14:paraId="46140330">
      <w:pPr>
        <w:pStyle w:val="29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定期评审计划，根据可用性绩效和事件分析，不断优化流程和措施。</w:t>
      </w:r>
    </w:p>
    <w:p w14:paraId="53A7313E">
      <w:pPr>
        <w:pStyle w:val="28"/>
        <w:keepLines w:val="0"/>
        <w:pageBreakBefore w:val="0"/>
        <w:widowControl w:val="0"/>
        <w:wordWrap/>
        <w:overflowPunct/>
        <w:bidi w:val="0"/>
      </w:pPr>
      <w:bookmarkStart w:id="8" w:name="_Toc29239"/>
      <w:bookmarkStart w:id="9" w:name="_Toc30096"/>
      <w:r>
        <w:rPr>
          <w:rFonts w:hint="eastAsia"/>
          <w:lang w:val="en-US" w:eastAsia="zh-CN"/>
        </w:rPr>
        <w:t>适用</w:t>
      </w:r>
      <w:r>
        <w:t>范围</w:t>
      </w:r>
      <w:bookmarkEnd w:id="8"/>
      <w:bookmarkEnd w:id="9"/>
    </w:p>
    <w:p w14:paraId="62FC5876">
      <w:pPr>
        <w:pStyle w:val="29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本计划适用于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“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天津港引航中心引航信息系统及设备维护项目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”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的运维服务工作，以及支持这些服务运行所必需的基础设施和软件系统，包括但不限于服务器、网络设备、相关系统软件及应用程序。</w:t>
      </w:r>
    </w:p>
    <w:p w14:paraId="3162CA20">
      <w:pPr>
        <w:pStyle w:val="28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9492"/>
      <w:bookmarkStart w:id="11" w:name="_Toc92"/>
      <w:r>
        <w:rPr>
          <w:rFonts w:hint="eastAsia"/>
          <w:lang w:val="en-US" w:eastAsia="zh-CN"/>
        </w:rPr>
        <w:t>岗位职责</w:t>
      </w:r>
      <w:bookmarkEnd w:id="10"/>
      <w:bookmarkEnd w:id="11"/>
    </w:p>
    <w:p w14:paraId="3ADA3674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2" w:name="_Toc29740"/>
      <w:bookmarkStart w:id="13" w:name="_Toc11820"/>
      <w:r>
        <w:rPr>
          <w:rFonts w:hint="eastAsia"/>
          <w:lang w:val="en-US" w:eastAsia="zh-CN"/>
        </w:rPr>
        <w:t>运维部</w:t>
      </w:r>
      <w:bookmarkEnd w:id="12"/>
      <w:bookmarkEnd w:id="13"/>
    </w:p>
    <w:p w14:paraId="0ADF8BBD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日常监控与预防维护：通过7x24小时监控和定期巡检，主动发现并处理潜在风险，预防故障发生。</w:t>
      </w:r>
    </w:p>
    <w:p w14:paraId="39AD9FE9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应急响应与快速恢复：在故障发生时，作为第一响应团队，严格按照SLA要求（如4小时到场）执行恢复流程，最大限度减少停机时间。</w:t>
      </w:r>
    </w:p>
    <w:p w14:paraId="0BED0051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规范执行与记录：严格执行计划内维护流程（如夜间检修），并详细记录所有维护、故障及处理情况，确保所有操作有据可查。</w:t>
      </w:r>
    </w:p>
    <w:p w14:paraId="06794CD5">
      <w:pPr>
        <w:pStyle w:val="29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数据提供与持续改进：收集系统可用性数据，编制可用性报告，并为计划的年度评审提供数据支持，推动流程和措施的持续优化。</w:t>
      </w:r>
    </w:p>
    <w:p w14:paraId="52CF4263">
      <w:pPr>
        <w:pStyle w:val="28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4" w:name="_Toc15155"/>
      <w:bookmarkStart w:id="15" w:name="_Toc14184"/>
      <w:r>
        <w:rPr>
          <w:rFonts w:hint="eastAsia"/>
          <w:lang w:val="en-US" w:eastAsia="zh-CN"/>
        </w:rPr>
        <w:t>可用性工作实施</w:t>
      </w:r>
      <w:bookmarkEnd w:id="14"/>
      <w:bookmarkEnd w:id="15"/>
    </w:p>
    <w:p w14:paraId="765A1442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18216"/>
      <w:bookmarkStart w:id="17" w:name="_Toc11226"/>
      <w:r>
        <w:rPr>
          <w:rFonts w:hint="default"/>
          <w:lang w:val="en-US" w:eastAsia="zh-CN"/>
        </w:rPr>
        <w:t>可用性需求</w:t>
      </w:r>
      <w:bookmarkEnd w:id="16"/>
      <w:bookmarkEnd w:id="17"/>
    </w:p>
    <w:p w14:paraId="57EC21A9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根据客户业务要求，明确以下可用性需求：</w:t>
      </w:r>
    </w:p>
    <w:p w14:paraId="54410B0E">
      <w:pPr>
        <w:pStyle w:val="29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可用时间：核心系统与服务要求提供7×24小时的不间断服务能力。</w:t>
      </w:r>
    </w:p>
    <w:p w14:paraId="5AABDC7E">
      <w:pPr>
        <w:pStyle w:val="29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宕机时间：如因计划内维修或升级需停止服务器，必须提前通知用户，并获得许可。</w:t>
      </w:r>
    </w:p>
    <w:p w14:paraId="5A738F01">
      <w:pPr>
        <w:pStyle w:val="29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最低绩效：</w:t>
      </w:r>
    </w:p>
    <w:p w14:paraId="4FFD9306">
      <w:pPr>
        <w:pStyle w:val="29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所有计划内的停机检修工作须避开业务高峰期，通常安排在晚上7点后进行。</w:t>
      </w:r>
    </w:p>
    <w:p w14:paraId="7535222C">
      <w:pPr>
        <w:pStyle w:val="29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计划内维修的目标修复时间应尽量控制在12小时之内完成。</w:t>
      </w:r>
    </w:p>
    <w:p w14:paraId="7F4A3CCF">
      <w:pPr>
        <w:pStyle w:val="29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可用性报告及频率：</w:t>
      </w:r>
    </w:p>
    <w:p w14:paraId="2A8594B9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由指定的可用性负责人编写《可用性报告》。</w:t>
      </w:r>
    </w:p>
    <w:p w14:paraId="4C7AEF4D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常规报告频率为每年一次。</w:t>
      </w:r>
    </w:p>
    <w:p w14:paraId="071DA7FE">
      <w:pPr>
        <w:pStyle w:val="29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此外，每当发生重大升级或变更服务后，必须额外生成一份可用性报告并提交给部门领导。</w:t>
      </w:r>
    </w:p>
    <w:p w14:paraId="40F2E7C5">
      <w:pPr>
        <w:pStyle w:val="41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t>可用性指标：核心系统全年可用性不低于99%，全年计划外宕机时间不超过8</w:t>
      </w:r>
      <w:r>
        <w:rPr>
          <w:rFonts w:hint="eastAsia"/>
          <w:lang w:val="en-US" w:eastAsia="zh-CN"/>
        </w:rPr>
        <w:t>0</w:t>
      </w:r>
      <w:r>
        <w:t>小时。</w:t>
      </w:r>
    </w:p>
    <w:p w14:paraId="65384147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8" w:name="_Toc26332"/>
      <w:bookmarkStart w:id="19" w:name="_Toc25859"/>
      <w:r>
        <w:rPr>
          <w:rFonts w:hint="default"/>
          <w:lang w:val="en-US" w:eastAsia="zh-CN"/>
        </w:rPr>
        <w:t>检测、维护及恢复方案</w:t>
      </w:r>
      <w:bookmarkEnd w:id="18"/>
      <w:bookmarkEnd w:id="19"/>
    </w:p>
    <w:p w14:paraId="69605551">
      <w:pPr>
        <w:pStyle w:val="3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30965"/>
      <w:bookmarkStart w:id="21" w:name="_Toc18682"/>
      <w:bookmarkStart w:id="22" w:name="_Toc24885"/>
      <w:r>
        <w:rPr>
          <w:rFonts w:hint="default"/>
          <w:lang w:val="en-US" w:eastAsia="zh-CN"/>
        </w:rPr>
        <w:t>日常维护方案</w:t>
      </w:r>
      <w:bookmarkEnd w:id="20"/>
      <w:bookmarkEnd w:id="21"/>
      <w:bookmarkEnd w:id="22"/>
    </w:p>
    <w:p w14:paraId="73407F36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为确保系统持续稳</w:t>
      </w:r>
      <w:r>
        <w:rPr>
          <w:rStyle w:val="39"/>
          <w:rFonts w:hint="default"/>
          <w:lang w:val="en-US" w:eastAsia="zh-CN"/>
        </w:rPr>
        <w:t>定</w:t>
      </w:r>
      <w:r>
        <w:rPr>
          <w:rFonts w:hint="default"/>
          <w:lang w:val="en-US" w:eastAsia="zh-CN"/>
        </w:rPr>
        <w:t>运行，将执行以下日常维护措施：</w:t>
      </w:r>
    </w:p>
    <w:p w14:paraId="22041721">
      <w:pPr>
        <w:pStyle w:val="2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资源配备：安排专职</w:t>
      </w: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人员1名，配备笔记本电脑 1台、维护记录本及全套维修工具，以满足日常维护和应急响应需求。</w:t>
      </w:r>
    </w:p>
    <w:p w14:paraId="6CCDD0D2">
      <w:pPr>
        <w:pStyle w:val="29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监视方法：采用定期人工巡检与自动化软件监控相结合的方式，全面监视设备运行状况。</w:t>
      </w:r>
    </w:p>
    <w:p w14:paraId="32D98E39">
      <w:pPr>
        <w:pStyle w:val="2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人工巡检：</w:t>
      </w:r>
    </w:p>
    <w:p w14:paraId="3323F5B9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频率：每月进行一次全面巡检。</w:t>
      </w:r>
    </w:p>
    <w:p w14:paraId="47619309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内容：</w:t>
      </w:r>
    </w:p>
    <w:p w14:paraId="0F59EFBB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检查硬件设备的温度、运行状态指示灯，进行必要的保养维护与性能测试，并对系统进行优化。</w:t>
      </w:r>
    </w:p>
    <w:p w14:paraId="158DD05A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检查软件系统的运行情况，包括数据库状态、分析后台日志和验证数据备份的完整性。</w:t>
      </w:r>
    </w:p>
    <w:p w14:paraId="6582A331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记录：所有检查结果必须详细填写于《巡检记录表》，并在维护记录本中完成登记。</w:t>
      </w:r>
    </w:p>
    <w:p w14:paraId="0B58728C">
      <w:pPr>
        <w:pStyle w:val="29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软件监控：</w:t>
      </w:r>
    </w:p>
    <w:p w14:paraId="4A2665A9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客户可通过监控系统实时监控视频设备运行状况、资源利用率及系统健康度。</w:t>
      </w:r>
    </w:p>
    <w:p w14:paraId="0FA2695B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涉及的具体管理需求包括：</w:t>
      </w:r>
    </w:p>
    <w:p w14:paraId="2D1FEEF0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密码维护：由专人负责，定期更新，确保安全。</w:t>
      </w:r>
    </w:p>
    <w:p w14:paraId="62E63270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应急修补方法：建立标准流程，用于快速应对发现的安全漏洞或系统缺陷。</w:t>
      </w:r>
    </w:p>
    <w:p w14:paraId="7CE64DFA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操作、监控和诊断技能：对运维人员进行持续培训，确保其具备所需的技能。</w:t>
      </w:r>
    </w:p>
    <w:p w14:paraId="09EE51C1">
      <w:pPr>
        <w:pStyle w:val="3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3" w:name="_Toc31522"/>
      <w:bookmarkStart w:id="24" w:name="_Toc29705"/>
      <w:r>
        <w:rPr>
          <w:rFonts w:hint="default"/>
          <w:lang w:val="en-US" w:eastAsia="zh-CN"/>
        </w:rPr>
        <w:t>系统恢复方案</w:t>
      </w:r>
      <w:bookmarkEnd w:id="23"/>
      <w:bookmarkEnd w:id="24"/>
    </w:p>
    <w:p w14:paraId="0D243965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根据合同承诺，在系统发生故障后，</w:t>
      </w:r>
      <w:r>
        <w:rPr>
          <w:rFonts w:hint="eastAsia"/>
          <w:lang w:val="en-US" w:eastAsia="zh-CN"/>
        </w:rPr>
        <w:t>运维实施</w:t>
      </w:r>
      <w:r>
        <w:rPr>
          <w:rFonts w:hint="default"/>
          <w:lang w:val="en-US" w:eastAsia="zh-CN"/>
        </w:rPr>
        <w:t>工程师须在4小时内抵达现场，并在24小时内完成故障修复。</w:t>
      </w:r>
    </w:p>
    <w:p w14:paraId="65D2B55D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为保障修复质量与效率，将确保配置的全套专业维修工具始终可用，以满足各类现场维修需求。</w:t>
      </w:r>
    </w:p>
    <w:p w14:paraId="1C268835">
      <w:pPr>
        <w:pStyle w:val="3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5" w:name="_Toc21508"/>
      <w:bookmarkStart w:id="26" w:name="_Toc18062"/>
      <w:bookmarkStart w:id="27" w:name="_Toc27139"/>
      <w:r>
        <w:rPr>
          <w:rFonts w:hint="default"/>
          <w:lang w:val="en-US" w:eastAsia="zh-CN"/>
        </w:rPr>
        <w:t>计划的评审</w:t>
      </w:r>
      <w:bookmarkEnd w:id="25"/>
      <w:bookmarkEnd w:id="26"/>
      <w:bookmarkEnd w:id="27"/>
    </w:p>
    <w:p w14:paraId="51B6D480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本可用性计划每年</w:t>
      </w:r>
      <w:r>
        <w:rPr>
          <w:rFonts w:hint="eastAsia"/>
          <w:lang w:val="en-US" w:eastAsia="zh-CN"/>
        </w:rPr>
        <w:t>度</w:t>
      </w:r>
      <w:r>
        <w:rPr>
          <w:rFonts w:hint="default"/>
          <w:lang w:val="en-US" w:eastAsia="zh-CN"/>
        </w:rPr>
        <w:t>将定期评审一次，以确保其持续有效性、适应性及可行性，并能应对业务和技术环境的变化。</w:t>
      </w:r>
    </w:p>
    <w:p w14:paraId="3D420DFA">
      <w:pPr>
        <w:pStyle w:val="28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8" w:name="bookmark3"/>
      <w:bookmarkEnd w:id="28"/>
      <w:bookmarkStart w:id="29" w:name="_Toc17424"/>
      <w:bookmarkStart w:id="30" w:name="_Toc15439"/>
      <w:bookmarkStart w:id="31" w:name="_Toc28329"/>
      <w:r>
        <w:rPr>
          <w:rStyle w:val="38"/>
          <w:rFonts w:hint="eastAsia" w:eastAsia="宋体"/>
          <w:lang w:val="en-US" w:eastAsia="zh-CN"/>
        </w:rPr>
        <w:t>附则</w:t>
      </w:r>
      <w:bookmarkEnd w:id="29"/>
      <w:bookmarkEnd w:id="30"/>
      <w:bookmarkEnd w:id="31"/>
    </w:p>
    <w:p w14:paraId="198B3909">
      <w:pPr>
        <w:pStyle w:val="41"/>
        <w:numPr>
          <w:ilvl w:val="0"/>
          <w:numId w:val="9"/>
        </w:numPr>
        <w:bidi w:val="0"/>
      </w:pPr>
      <w:r>
        <w:t>本</w:t>
      </w:r>
      <w:r>
        <w:rPr>
          <w:rFonts w:hint="eastAsia"/>
          <w:lang w:val="en-US" w:eastAsia="zh-CN"/>
        </w:rPr>
        <w:t>计划</w:t>
      </w:r>
      <w:r>
        <w:t>最终解释权和修订权归</w:t>
      </w:r>
      <w:r>
        <w:rPr>
          <w:rFonts w:hint="eastAsia"/>
          <w:lang w:val="en-US" w:eastAsia="zh-CN"/>
        </w:rPr>
        <w:t>运维部</w:t>
      </w:r>
      <w:r>
        <w:t>。</w:t>
      </w:r>
    </w:p>
    <w:p w14:paraId="7190FE27">
      <w:pPr>
        <w:pStyle w:val="41"/>
        <w:numPr>
          <w:ilvl w:val="0"/>
          <w:numId w:val="9"/>
        </w:numPr>
        <w:bidi w:val="0"/>
        <w:rPr>
          <w:rFonts w:hint="eastAsia"/>
          <w:lang w:val="en-US" w:eastAsia="zh-CN"/>
        </w:rPr>
      </w:pPr>
      <w:r>
        <w:t>本</w:t>
      </w:r>
      <w:r>
        <w:rPr>
          <w:rFonts w:hint="eastAsia"/>
          <w:lang w:val="en-US" w:eastAsia="zh-CN"/>
        </w:rPr>
        <w:t>计划</w:t>
      </w:r>
      <w:r>
        <w:t>自颁布之日起施行。</w:t>
      </w:r>
      <w:bookmarkStart w:id="32" w:name="bookmark14"/>
      <w:bookmarkEnd w:id="32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16F36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309290A"/>
    <w:multiLevelType w:val="singleLevel"/>
    <w:tmpl w:val="930929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E11D14A"/>
    <w:multiLevelType w:val="singleLevel"/>
    <w:tmpl w:val="9E11D14A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C8824AC8"/>
    <w:multiLevelType w:val="singleLevel"/>
    <w:tmpl w:val="C8824AC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5108AA2"/>
    <w:multiLevelType w:val="singleLevel"/>
    <w:tmpl w:val="D5108AA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069CC00"/>
    <w:multiLevelType w:val="singleLevel"/>
    <w:tmpl w:val="0069CC0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29D60D7B"/>
    <w:multiLevelType w:val="singleLevel"/>
    <w:tmpl w:val="29D60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096E152"/>
    <w:multiLevelType w:val="singleLevel"/>
    <w:tmpl w:val="3096E1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2"/>
  </w:num>
  <w:num w:numId="6">
    <w:abstractNumId w:val="4"/>
  </w:num>
  <w:num w:numId="7">
    <w:abstractNumId w:val="3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ED5EAD"/>
    <w:rsid w:val="32590955"/>
    <w:rsid w:val="37A91900"/>
    <w:rsid w:val="3878035D"/>
    <w:rsid w:val="3BA96372"/>
    <w:rsid w:val="49FB423D"/>
    <w:rsid w:val="4BC44B03"/>
    <w:rsid w:val="5D534AB8"/>
    <w:rsid w:val="605C4EB2"/>
    <w:rsid w:val="63D74BCC"/>
    <w:rsid w:val="644F178D"/>
    <w:rsid w:val="69562DE6"/>
    <w:rsid w:val="708C2560"/>
    <w:rsid w:val="7DEE3196"/>
    <w:rsid w:val="7E0D5D12"/>
    <w:rsid w:val="7F3E1EFB"/>
    <w:rsid w:val="7FFD1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1627</Words>
  <Characters>1719</Characters>
  <Lines>0</Lines>
  <Paragraphs>0</Paragraphs>
  <TotalTime>0</TotalTime>
  <ScaleCrop>false</ScaleCrop>
  <LinksUpToDate>false</LinksUpToDate>
  <CharactersWithSpaces>1746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2026-06-03T13:47:24Z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