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FE22C">
      <w:pPr>
        <w:keepNext w:val="0"/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</w:p>
    <w:p w14:paraId="7C087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0F18779D">
      <w:pPr>
        <w:pStyle w:val="24"/>
        <w:keepNext w:val="0"/>
        <w:keepLines w:val="0"/>
        <w:pageBreakBefore w:val="0"/>
        <w:widowControl w:val="0"/>
        <w:wordWrap/>
        <w:overflowPunct/>
        <w:bidi w:val="0"/>
      </w:pPr>
      <w:bookmarkStart w:id="0" w:name="_Toc22687"/>
      <w:r>
        <w:rPr>
          <w:rFonts w:hint="eastAsia"/>
          <w:lang w:val="en-US" w:eastAsia="zh-CN"/>
        </w:rPr>
        <w:t>天津通海信息技术有限公司</w:t>
      </w:r>
      <w:bookmarkEnd w:id="0"/>
    </w:p>
    <w:p w14:paraId="0D388270">
      <w:pPr>
        <w:pStyle w:val="25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15861"/>
      <w:r>
        <w:rPr>
          <w:rFonts w:hint="eastAsia"/>
          <w:lang w:val="en-US" w:eastAsia="zh-CN"/>
        </w:rPr>
        <w:t>连续性管理计划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44D2D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8A24711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耿宁</w:t>
            </w:r>
          </w:p>
        </w:tc>
        <w:tc>
          <w:tcPr>
            <w:tcW w:w="4261" w:type="dxa"/>
          </w:tcPr>
          <w:p w14:paraId="3025C9E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483AB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79DA4E76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  <w:shd w:val="clear" w:color="auto" w:fill="auto"/>
          </w:tcPr>
          <w:p w14:paraId="539E96F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17" w:name="_GoBack"/>
            <w:bookmarkEnd w:id="17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3612F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065BB4C4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4261" w:type="dxa"/>
          </w:tcPr>
          <w:p w14:paraId="275C1F9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5C5B49B9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77271922">
      <w:pPr>
        <w:keepNext w:val="0"/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79584D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31CA64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C102F0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B4943F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A57C22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51C89D1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72C3698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52C9D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D3ABE4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415BA70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4C613B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37569F0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 w:leftChars="0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耿宁</w:t>
            </w:r>
          </w:p>
        </w:tc>
        <w:tc>
          <w:tcPr>
            <w:tcW w:w="1150" w:type="dxa"/>
          </w:tcPr>
          <w:p w14:paraId="39B7F59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 w:leftChars="0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29CEC60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 w14:paraId="4E57D2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D61FB7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D0333A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195B90A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53B93F9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BAA62B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D2294E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175EFA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DF3AD2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81265A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BB5D53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196B40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53C746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0F854AE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1103C0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5F21A5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B88644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39BC4AC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4704E2B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04B687D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7B5BE26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DCFD5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C273C3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0D20B1A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B90EAB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5469DA1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27A66C5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B3915E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45C444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6478932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928D13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0321568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434ACC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276D116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1A6939A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0C54B194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BD7A61D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35DBE7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_Toc22687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A5260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_Toc15861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连续性管理计划</w:t>
          </w:r>
          <w:r>
            <w:tab/>
          </w:r>
          <w:r>
            <w:fldChar w:fldCharType="begin"/>
          </w:r>
          <w:r>
            <w:instrText xml:space="preserve"> PAGEREF _Toc15861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347DA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_Toc1107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55E6E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_Toc24007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_Toc24007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88A74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_Toc23725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0D5B4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_Toc19303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5123B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_Toc21863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应急管理办公室</w:t>
          </w:r>
          <w:r>
            <w:tab/>
          </w:r>
          <w:r>
            <w:fldChar w:fldCharType="begin"/>
          </w:r>
          <w:r>
            <w:instrText xml:space="preserve"> PAGEREF _Toc21863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AE28F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连续性目标</w:t>
          </w:r>
          <w:r>
            <w:tab/>
          </w:r>
          <w:r>
            <w:fldChar w:fldCharType="begin"/>
          </w:r>
          <w:r>
            <w:instrText xml:space="preserve"> PAGEREF _Toc11149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36DCE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_Toc10392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连续性工作实施</w:t>
          </w:r>
          <w:r>
            <w:tab/>
          </w:r>
          <w:r>
            <w:fldChar w:fldCharType="begin"/>
          </w:r>
          <w:r>
            <w:instrText xml:space="preserve"> PAGEREF _Toc10392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8FECD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事件预警与启动</w:t>
          </w:r>
          <w:r>
            <w:tab/>
          </w:r>
          <w:r>
            <w:fldChar w:fldCharType="begin"/>
          </w:r>
          <w:r>
            <w:instrText xml:space="preserve"> PAGEREF _Toc24369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1F9CF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初步沟通</w:t>
          </w:r>
          <w:r>
            <w:tab/>
          </w:r>
          <w:r>
            <w:fldChar w:fldCharType="begin"/>
          </w:r>
          <w:r>
            <w:instrText xml:space="preserve"> PAGEREF _Toc28078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F4FB5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业务恢复</w:t>
          </w:r>
          <w:r>
            <w:tab/>
          </w:r>
          <w:r>
            <w:fldChar w:fldCharType="begin"/>
          </w:r>
          <w:r>
            <w:instrText xml:space="preserve"> PAGEREF _Toc14606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7A1A5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6.4. </w:t>
          </w:r>
          <w:r>
            <w:t>恢复正常运营</w:t>
          </w:r>
          <w:r>
            <w:tab/>
          </w:r>
          <w:r>
            <w:fldChar w:fldCharType="begin"/>
          </w:r>
          <w:r>
            <w:instrText xml:space="preserve"> PAGEREF _Toc2386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2BC9A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7.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_Toc31879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0739ED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32E625B">
      <w:pPr>
        <w:keepNext w:val="0"/>
        <w:keepLines w:val="0"/>
        <w:pageBreakBefore w:val="0"/>
        <w:widowControl w:val="0"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7FE4DC4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2" w:name="_Toc1107"/>
      <w:r>
        <w:t>目的</w:t>
      </w:r>
      <w:bookmarkEnd w:id="2"/>
    </w:p>
    <w:p w14:paraId="29E7D7CF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为确保在发生重大中断事件（如自然灾害、重大硬件故障、网络攻击、疫情）时，公司核心业务及运维服务能持续提供或及时恢复，最大限度降低中断对客户业务的影响，减少经济损失，维护公司声誉，特制定本业务连续性管理计划。</w:t>
      </w:r>
    </w:p>
    <w:p w14:paraId="5CF242ED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" w:name="_Toc24007"/>
      <w:r>
        <w:rPr>
          <w:rFonts w:hint="eastAsia"/>
          <w:lang w:val="en-US" w:eastAsia="zh-CN"/>
        </w:rPr>
        <w:t>原则</w:t>
      </w:r>
      <w:bookmarkEnd w:id="3"/>
    </w:p>
    <w:p w14:paraId="3DB2A6B9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客户业务优先</w:t>
      </w:r>
    </w:p>
    <w:p w14:paraId="27D9989B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恢复策略优先保障对客户业务影响最大的核心系统。</w:t>
      </w:r>
    </w:p>
    <w:p w14:paraId="4707C61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 xml:space="preserve">预案为主，平战结合： </w:t>
      </w:r>
    </w:p>
    <w:p w14:paraId="417196BA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通过充分的准备、演练和培训，确保在紧急情况下能迅速启动预案。</w:t>
      </w:r>
    </w:p>
    <w:p w14:paraId="1DD4DB0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持续改进：</w:t>
      </w:r>
    </w:p>
    <w:p w14:paraId="78E82B00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根据演练和实际发生的应急情况，定期评审和更新计划。</w:t>
      </w:r>
    </w:p>
    <w:p w14:paraId="5C01DC1B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4" w:name="_Toc23725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3BB6BE1E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本计划涵盖为保障【</w:t>
      </w:r>
      <w:r>
        <w:rPr>
          <w:rFonts w:hint="eastAsia"/>
        </w:rPr>
        <w:t>天津港引航中心引航信息系统及设备维护项目</w:t>
      </w:r>
      <w:r>
        <w:t>】运维服务连续性所涉及的关键业务流程、关键信息系统、关键人员及相关配套设施。</w:t>
      </w:r>
    </w:p>
    <w:p w14:paraId="28A53490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5" w:name="_Toc19303"/>
      <w:r>
        <w:rPr>
          <w:rFonts w:hint="eastAsia"/>
          <w:lang w:val="en-US" w:eastAsia="zh-CN"/>
        </w:rPr>
        <w:t>岗位职责</w:t>
      </w:r>
      <w:bookmarkEnd w:id="5"/>
    </w:p>
    <w:p w14:paraId="6EB3C9BE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6" w:name="_Toc21863"/>
      <w:r>
        <w:rPr>
          <w:rFonts w:hint="eastAsia"/>
          <w:lang w:val="en-US" w:eastAsia="zh-CN"/>
        </w:rPr>
        <w:t>应急管理办公室</w:t>
      </w:r>
      <w:bookmarkEnd w:id="6"/>
    </w:p>
    <w:p w14:paraId="61F2F5DD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color w:val="333333"/>
          <w:spacing w:val="2"/>
        </w:rPr>
      </w:pPr>
      <w:r>
        <w:rPr>
          <w:color w:val="333333"/>
          <w:spacing w:val="3"/>
        </w:rPr>
        <w:t>运维部经理、</w:t>
      </w:r>
      <w:r>
        <w:rPr>
          <w:rFonts w:hint="eastAsia"/>
          <w:color w:val="333333"/>
          <w:spacing w:val="3"/>
          <w:lang w:val="en-US" w:eastAsia="zh-CN"/>
        </w:rPr>
        <w:t>研发部</w:t>
      </w:r>
      <w:r>
        <w:rPr>
          <w:color w:val="333333"/>
          <w:spacing w:val="3"/>
        </w:rPr>
        <w:t>经理、</w:t>
      </w:r>
      <w:r>
        <w:rPr>
          <w:rFonts w:hint="eastAsia"/>
          <w:color w:val="333333"/>
          <w:spacing w:val="3"/>
          <w:lang w:val="en-US" w:eastAsia="zh-CN"/>
        </w:rPr>
        <w:t>人力部</w:t>
      </w:r>
      <w:r>
        <w:rPr>
          <w:color w:val="333333"/>
          <w:spacing w:val="3"/>
        </w:rPr>
        <w:t>经理等负责执行各自</w:t>
      </w:r>
      <w:r>
        <w:rPr>
          <w:color w:val="333333"/>
          <w:spacing w:val="2"/>
        </w:rPr>
        <w:t>领域的恢复工作</w:t>
      </w:r>
    </w:p>
    <w:p w14:paraId="66070F2C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color w:val="333333"/>
          <w:spacing w:val="1"/>
        </w:rPr>
      </w:pPr>
      <w:r>
        <w:rPr>
          <w:color w:val="333333"/>
          <w:spacing w:val="1"/>
        </w:rPr>
        <w:t>运维部经理负责技术恢复的总指挥</w:t>
      </w:r>
    </w:p>
    <w:p w14:paraId="134A3892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color w:val="333333"/>
          <w:spacing w:val="1"/>
          <w:lang w:val="en-US" w:eastAsia="zh-CN"/>
        </w:rPr>
      </w:pPr>
      <w:r>
        <w:rPr>
          <w:color w:val="333333"/>
          <w:spacing w:val="2"/>
        </w:rPr>
        <w:t>全体运维技术人员负责具体技术系统的启动、恢复和验证。</w:t>
      </w:r>
    </w:p>
    <w:p w14:paraId="4A1C2566">
      <w:pPr>
        <w:pStyle w:val="28"/>
        <w:bidi w:val="0"/>
        <w:rPr>
          <w:rFonts w:hint="default"/>
          <w:lang w:val="en-US" w:eastAsia="zh-CN"/>
        </w:rPr>
      </w:pPr>
      <w:bookmarkStart w:id="7" w:name="_Toc11149"/>
      <w:r>
        <w:rPr>
          <w:rFonts w:hint="eastAsia"/>
          <w:lang w:val="en-US" w:eastAsia="zh-CN"/>
        </w:rPr>
        <w:t>连续性目标</w:t>
      </w:r>
      <w:bookmarkEnd w:id="7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8"/>
        <w:gridCol w:w="1749"/>
        <w:gridCol w:w="2940"/>
        <w:gridCol w:w="2705"/>
      </w:tblGrid>
      <w:tr w14:paraId="16E34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2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3DF2C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优先级</w:t>
            </w:r>
          </w:p>
        </w:tc>
        <w:tc>
          <w:tcPr>
            <w:tcW w:w="174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20D4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系统/业务</w:t>
            </w:r>
          </w:p>
        </w:tc>
        <w:tc>
          <w:tcPr>
            <w:tcW w:w="29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F8A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RTO（恢复时间目标）</w:t>
            </w:r>
          </w:p>
        </w:tc>
        <w:tc>
          <w:tcPr>
            <w:tcW w:w="27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BD11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RPO（恢复点目标）</w:t>
            </w:r>
          </w:p>
        </w:tc>
      </w:tr>
      <w:tr w14:paraId="50084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238A0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高</w:t>
            </w:r>
          </w:p>
        </w:tc>
        <w:tc>
          <w:tcPr>
            <w:tcW w:w="17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47CF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核心数据库</w:t>
            </w:r>
          </w:p>
        </w:tc>
        <w:tc>
          <w:tcPr>
            <w:tcW w:w="29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D37B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2小时以内</w:t>
            </w:r>
          </w:p>
        </w:tc>
        <w:tc>
          <w:tcPr>
            <w:tcW w:w="27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6EFA8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15分钟以内</w:t>
            </w:r>
          </w:p>
        </w:tc>
      </w:tr>
      <w:tr w14:paraId="54A55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FCF31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中</w:t>
            </w:r>
          </w:p>
        </w:tc>
        <w:tc>
          <w:tcPr>
            <w:tcW w:w="17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1078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应用服务</w:t>
            </w:r>
          </w:p>
        </w:tc>
        <w:tc>
          <w:tcPr>
            <w:tcW w:w="29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2559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4小时以内</w:t>
            </w:r>
          </w:p>
        </w:tc>
        <w:tc>
          <w:tcPr>
            <w:tcW w:w="27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EC344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30分钟以内</w:t>
            </w:r>
          </w:p>
        </w:tc>
      </w:tr>
      <w:tr w14:paraId="59010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2AEA9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=低</w:t>
            </w:r>
          </w:p>
        </w:tc>
        <w:tc>
          <w:tcPr>
            <w:tcW w:w="17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A7B2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次要系统</w:t>
            </w:r>
          </w:p>
        </w:tc>
        <w:tc>
          <w:tcPr>
            <w:tcW w:w="29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536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24小时以内</w:t>
            </w:r>
          </w:p>
        </w:tc>
        <w:tc>
          <w:tcPr>
            <w:tcW w:w="27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6CD7F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24小时以内</w:t>
            </w:r>
          </w:p>
        </w:tc>
      </w:tr>
    </w:tbl>
    <w:p w14:paraId="679056D4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8" w:name="_Toc10392"/>
      <w:r>
        <w:rPr>
          <w:rFonts w:hint="eastAsia"/>
          <w:lang w:val="en-US" w:eastAsia="zh-CN"/>
        </w:rPr>
        <w:t>连续性工作实施</w:t>
      </w:r>
      <w:bookmarkEnd w:id="8"/>
    </w:p>
    <w:p w14:paraId="204E8404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9" w:name="bookmark3"/>
      <w:bookmarkEnd w:id="9"/>
      <w:bookmarkStart w:id="10" w:name="_Toc24369"/>
      <w:bookmarkStart w:id="11" w:name="_Toc17424"/>
      <w:r>
        <w:t>事件预警与启动</w:t>
      </w:r>
      <w:bookmarkEnd w:id="10"/>
    </w:p>
    <w:p w14:paraId="60C1ACFC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发现可能导致业务中断的重大事件，立即上报运维部经理，由</w:t>
      </w:r>
      <w:r>
        <w:rPr>
          <w:rFonts w:hint="eastAsia"/>
          <w:lang w:val="en-US" w:eastAsia="zh-CN"/>
        </w:rPr>
        <w:t>应急管理办公室</w:t>
      </w:r>
      <w:r>
        <w:t>评估并宣布启动BCP。</w:t>
      </w:r>
    </w:p>
    <w:p w14:paraId="3D389939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12" w:name="_Toc28078"/>
      <w:r>
        <w:t>初步沟通</w:t>
      </w:r>
      <w:bookmarkEnd w:id="12"/>
    </w:p>
    <w:p w14:paraId="0F5FE1E4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立即通知</w:t>
      </w:r>
      <w:r>
        <w:rPr>
          <w:rFonts w:hint="eastAsia"/>
          <w:lang w:val="en-US" w:eastAsia="zh-CN"/>
        </w:rPr>
        <w:t>应急管理办公室</w:t>
      </w:r>
      <w:r>
        <w:t>所有成员，并根据预案与客户进行初步沟通。</w:t>
      </w:r>
    </w:p>
    <w:p w14:paraId="6BDE4933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13" w:name="_Toc14606"/>
      <w:r>
        <w:t>业务恢复</w:t>
      </w:r>
      <w:bookmarkEnd w:id="13"/>
    </w:p>
    <w:p w14:paraId="12CED036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首要阶段 (0-2小时)：评估损失，启动备用站点或云容灾系统，优先恢复优先级1的系统（如核心数据库）。</w:t>
      </w:r>
    </w:p>
    <w:p w14:paraId="5379DD44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次要阶段 (2-8小时)：恢复优先级2的系统（应用服务），确保核心业务链路的通畅。</w:t>
      </w:r>
    </w:p>
    <w:p w14:paraId="50C1458A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后续阶段 (8-24小时)：恢复次要系统，并进行全面验证。</w:t>
      </w:r>
    </w:p>
    <w:p w14:paraId="3C4D2D64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14" w:name="_Toc2386"/>
      <w:r>
        <w:t>恢复正常运营</w:t>
      </w:r>
      <w:bookmarkEnd w:id="14"/>
    </w:p>
    <w:p w14:paraId="03BE1111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当主站点修复后，制定严谨的回切方案，将业务从备用环境平稳切换回生产环境。</w:t>
      </w:r>
    </w:p>
    <w:p w14:paraId="5D64EDC8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15" w:name="_Toc31879"/>
      <w:r>
        <w:rPr>
          <w:rStyle w:val="38"/>
          <w:rFonts w:hint="eastAsia" w:eastAsia="宋体"/>
          <w:lang w:val="en-US" w:eastAsia="zh-CN"/>
        </w:rPr>
        <w:t>附则</w:t>
      </w:r>
      <w:bookmarkEnd w:id="11"/>
      <w:bookmarkEnd w:id="15"/>
    </w:p>
    <w:p w14:paraId="7BD3F020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运维部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7ECE3C8F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  <w:bookmarkStart w:id="16" w:name="bookmark14"/>
      <w:bookmarkEnd w:id="16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78FEF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F98DDA"/>
    <w:multiLevelType w:val="singleLevel"/>
    <w:tmpl w:val="86F98D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03474A1"/>
    <w:multiLevelType w:val="singleLevel"/>
    <w:tmpl w:val="003474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77AC16D"/>
    <w:multiLevelType w:val="singleLevel"/>
    <w:tmpl w:val="777AC16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91536F1"/>
    <w:rsid w:val="42A27058"/>
    <w:rsid w:val="49B44CC0"/>
    <w:rsid w:val="50C555A5"/>
    <w:rsid w:val="5A663955"/>
    <w:rsid w:val="6D19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3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914</Words>
  <Characters>1005</Characters>
  <Lines>0</Lines>
  <Paragraphs>0</Paragraphs>
  <TotalTime>0</TotalTime>
  <ScaleCrop>false</ScaleCrop>
  <LinksUpToDate>false</LinksUpToDate>
  <CharactersWithSpaces>1063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2026-06-03T13:46:39Z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