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B4361">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2-07</w:t>
      </w:r>
    </w:p>
    <w:p w14:paraId="5D56EC5F">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6FFAECB">
      <w:pPr>
        <w:pStyle w:val="25"/>
        <w:widowControl w:val="0"/>
        <w:spacing w:after="1872"/>
        <w:rPr>
          <w:lang w:eastAsia="zh-CN"/>
        </w:rPr>
      </w:pPr>
      <w:bookmarkStart w:id="0" w:name="_Toc23373"/>
      <w:r>
        <w:rPr>
          <w:lang w:eastAsia="zh-CN"/>
        </w:rPr>
        <w:t>天津通海信息技术有限公司</w:t>
      </w:r>
      <w:bookmarkEnd w:id="0"/>
    </w:p>
    <w:p w14:paraId="73657A1E">
      <w:pPr>
        <w:pStyle w:val="26"/>
        <w:bidi w:val="0"/>
        <w:rPr>
          <w:rFonts w:hint="default"/>
          <w:lang w:val="en-US" w:eastAsia="zh-CN"/>
        </w:rPr>
      </w:pPr>
      <w:bookmarkStart w:id="1" w:name="_Toc2598"/>
      <w:r>
        <w:rPr>
          <w:rFonts w:hint="eastAsia"/>
          <w:sz w:val="30"/>
          <w:szCs w:val="30"/>
          <w:lang w:eastAsia="zh-CN"/>
        </w:rPr>
        <w:t>天津港引航中心引航信息系统及设备维护项目</w:t>
      </w:r>
      <w:r>
        <w:rPr>
          <w:rFonts w:hint="eastAsia"/>
          <w:sz w:val="30"/>
          <w:szCs w:val="30"/>
          <w:lang w:val="en-US" w:eastAsia="zh-CN"/>
        </w:rPr>
        <w:t>2026年第一季度</w:t>
      </w:r>
      <w:r>
        <w:rPr>
          <w:rFonts w:hint="eastAsia"/>
          <w:sz w:val="30"/>
          <w:szCs w:val="30"/>
          <w:lang w:eastAsia="zh-CN"/>
        </w:rPr>
        <w:t>阶段性总结报告</w:t>
      </w:r>
      <w:r>
        <w:rPr>
          <w:rFonts w:hint="eastAsia"/>
          <w:lang w:eastAsia="zh-CN"/>
        </w:rPr>
        <w:br w:type="textWrapping"/>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5C98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27BA65B4">
            <w:pPr>
              <w:pStyle w:val="30"/>
              <w:widowControl w:val="0"/>
              <w:ind w:firstLine="0" w:firstLineChars="0"/>
              <w:jc w:val="both"/>
              <w:rPr>
                <w:rFonts w:hint="eastAsia" w:ascii="宋体" w:hAnsi="宋体" w:cs="宋体"/>
                <w:sz w:val="21"/>
              </w:rPr>
            </w:pPr>
            <w:r>
              <w:rPr>
                <w:rFonts w:hint="eastAsia" w:ascii="宋体" w:hAnsi="宋体" w:cs="宋体"/>
                <w:sz w:val="21"/>
              </w:rPr>
              <w:t>编制人:</w:t>
            </w:r>
            <w:r>
              <w:rPr>
                <w:rFonts w:hint="eastAsia" w:ascii="宋体" w:hAnsi="宋体" w:cs="宋体"/>
                <w:sz w:val="21"/>
                <w:u w:val="single"/>
                <w:lang w:val="en-US" w:eastAsia="zh-CN"/>
              </w:rPr>
              <w:t>耿宁</w:t>
            </w:r>
          </w:p>
        </w:tc>
        <w:tc>
          <w:tcPr>
            <w:tcW w:w="4261" w:type="dxa"/>
          </w:tcPr>
          <w:p w14:paraId="1992A3FC">
            <w:pPr>
              <w:pStyle w:val="30"/>
              <w:widowControl w:val="0"/>
              <w:ind w:firstLine="420"/>
              <w:jc w:val="both"/>
              <w:rPr>
                <w:rFonts w:hint="eastAsia" w:ascii="宋体" w:hAnsi="宋体" w:eastAsia="宋体" w:cs="宋体"/>
                <w:sz w:val="21"/>
                <w:lang w:eastAsia="zh-CN"/>
              </w:rPr>
            </w:pPr>
            <w:r>
              <w:rPr>
                <w:rFonts w:hint="eastAsia" w:ascii="宋体" w:hAnsi="宋体" w:cs="宋体"/>
                <w:sz w:val="21"/>
              </w:rPr>
              <w:t>编制时间:</w:t>
            </w:r>
            <w:r>
              <w:rPr>
                <w:sz w:val="21"/>
                <w:u w:val="single"/>
              </w:rPr>
              <w:t>202</w:t>
            </w:r>
            <w:r>
              <w:rPr>
                <w:rFonts w:hint="eastAsia"/>
                <w:sz w:val="21"/>
                <w:u w:val="single"/>
                <w:lang w:val="en-US" w:eastAsia="zh-CN"/>
              </w:rPr>
              <w:t>6.03</w:t>
            </w:r>
            <w:r>
              <w:rPr>
                <w:sz w:val="21"/>
                <w:u w:val="single"/>
              </w:rPr>
              <w:t>.</w:t>
            </w:r>
            <w:r>
              <w:rPr>
                <w:rFonts w:hint="eastAsia"/>
                <w:sz w:val="21"/>
                <w:u w:val="single"/>
                <w:lang w:val="en-US" w:eastAsia="zh-CN"/>
              </w:rPr>
              <w:t>31</w:t>
            </w:r>
          </w:p>
        </w:tc>
      </w:tr>
      <w:tr w14:paraId="0C83D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52038C91">
            <w:pPr>
              <w:pStyle w:val="30"/>
              <w:widowControl w:val="0"/>
              <w:ind w:firstLine="0" w:firstLineChars="0"/>
              <w:jc w:val="both"/>
              <w:rPr>
                <w:rFonts w:hint="eastAsia" w:ascii="宋体" w:hAnsi="宋体" w:cs="宋体"/>
                <w:sz w:val="21"/>
              </w:rPr>
            </w:pPr>
            <w:r>
              <w:rPr>
                <w:rFonts w:hint="eastAsia" w:ascii="宋体" w:hAnsi="宋体" w:cs="宋体"/>
                <w:sz w:val="21"/>
              </w:rPr>
              <w:t>审核人:</w:t>
            </w:r>
            <w:r>
              <w:rPr>
                <w:rFonts w:hint="eastAsia" w:ascii="宋体" w:hAnsi="宋体" w:cs="宋体"/>
                <w:sz w:val="21"/>
                <w:u w:val="single"/>
                <w:lang w:val="en-US" w:eastAsia="zh-CN"/>
              </w:rPr>
              <w:t>常海霞</w:t>
            </w:r>
          </w:p>
        </w:tc>
        <w:tc>
          <w:tcPr>
            <w:tcW w:w="4261" w:type="dxa"/>
          </w:tcPr>
          <w:p w14:paraId="11BE4D7A">
            <w:pPr>
              <w:pStyle w:val="30"/>
              <w:widowControl w:val="0"/>
              <w:ind w:firstLine="420"/>
              <w:jc w:val="both"/>
              <w:rPr>
                <w:rFonts w:hint="eastAsia" w:ascii="宋体" w:hAnsi="宋体" w:eastAsia="宋体" w:cs="宋体"/>
                <w:sz w:val="21"/>
                <w:lang w:eastAsia="zh-CN"/>
              </w:rPr>
            </w:pPr>
            <w:r>
              <w:rPr>
                <w:rFonts w:hint="eastAsia" w:ascii="宋体" w:hAnsi="宋体" w:cs="宋体"/>
                <w:sz w:val="21"/>
                <w:lang w:val="en-US" w:eastAsia="zh-CN"/>
              </w:rPr>
              <w:t>审核</w:t>
            </w:r>
            <w:bookmarkStart w:id="44" w:name="_GoBack"/>
            <w:bookmarkEnd w:id="44"/>
            <w:r>
              <w:rPr>
                <w:rFonts w:hint="eastAsia" w:ascii="宋体" w:hAnsi="宋体" w:cs="宋体"/>
                <w:sz w:val="21"/>
              </w:rPr>
              <w:t>时间:</w:t>
            </w:r>
            <w:r>
              <w:rPr>
                <w:sz w:val="21"/>
                <w:u w:val="single"/>
              </w:rPr>
              <w:t>202</w:t>
            </w:r>
            <w:r>
              <w:rPr>
                <w:rFonts w:hint="eastAsia"/>
                <w:sz w:val="21"/>
                <w:u w:val="single"/>
                <w:lang w:val="en-US" w:eastAsia="zh-CN"/>
              </w:rPr>
              <w:t>6.03</w:t>
            </w:r>
            <w:r>
              <w:rPr>
                <w:sz w:val="21"/>
                <w:u w:val="single"/>
              </w:rPr>
              <w:t>.</w:t>
            </w:r>
            <w:r>
              <w:rPr>
                <w:rFonts w:hint="eastAsia"/>
                <w:sz w:val="21"/>
                <w:u w:val="single"/>
                <w:lang w:val="en-US" w:eastAsia="zh-CN"/>
              </w:rPr>
              <w:t>31</w:t>
            </w:r>
          </w:p>
        </w:tc>
      </w:tr>
      <w:tr w14:paraId="0E7B5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0B826D90">
            <w:pPr>
              <w:pStyle w:val="30"/>
              <w:widowControl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尹兆铮</w:t>
            </w:r>
          </w:p>
        </w:tc>
        <w:tc>
          <w:tcPr>
            <w:tcW w:w="4261" w:type="dxa"/>
          </w:tcPr>
          <w:p w14:paraId="1C742DF8">
            <w:pPr>
              <w:pStyle w:val="30"/>
              <w:widowControl w:val="0"/>
              <w:ind w:firstLine="420"/>
              <w:jc w:val="both"/>
              <w:rPr>
                <w:rFonts w:hint="eastAsia" w:ascii="宋体" w:hAnsi="宋体" w:eastAsia="宋体" w:cs="宋体"/>
                <w:sz w:val="21"/>
                <w:lang w:eastAsia="zh-CN"/>
              </w:rPr>
            </w:pPr>
            <w:r>
              <w:rPr>
                <w:rFonts w:hint="eastAsia" w:ascii="宋体" w:hAnsi="宋体" w:cs="宋体"/>
                <w:sz w:val="21"/>
              </w:rPr>
              <w:t>审批时间:</w:t>
            </w:r>
            <w:r>
              <w:rPr>
                <w:sz w:val="21"/>
                <w:u w:val="single"/>
              </w:rPr>
              <w:t>202</w:t>
            </w:r>
            <w:r>
              <w:rPr>
                <w:rFonts w:hint="eastAsia"/>
                <w:sz w:val="21"/>
                <w:u w:val="single"/>
                <w:lang w:val="en-US" w:eastAsia="zh-CN"/>
              </w:rPr>
              <w:t>6.03</w:t>
            </w:r>
            <w:r>
              <w:rPr>
                <w:sz w:val="21"/>
                <w:u w:val="single"/>
              </w:rPr>
              <w:t>.</w:t>
            </w:r>
            <w:r>
              <w:rPr>
                <w:rFonts w:hint="eastAsia"/>
                <w:sz w:val="21"/>
                <w:u w:val="single"/>
                <w:lang w:val="en-US" w:eastAsia="zh-CN"/>
              </w:rPr>
              <w:t>31</w:t>
            </w:r>
          </w:p>
        </w:tc>
      </w:tr>
    </w:tbl>
    <w:p w14:paraId="16CDEA52">
      <w:pPr>
        <w:pStyle w:val="30"/>
        <w:widowControl w:val="0"/>
        <w:ind w:firstLine="480"/>
      </w:pPr>
      <w:r>
        <w:br w:type="page"/>
      </w:r>
    </w:p>
    <w:p w14:paraId="4E5FE62B">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75530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8A5D9D8">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737E49F7">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4D52FFE3">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26FE82D">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3B5FA34">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1AE3D728">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BAA85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F816769">
            <w:pPr>
              <w:widowControl w:val="0"/>
              <w:spacing w:before="173" w:line="267" w:lineRule="exact"/>
              <w:ind w:left="260"/>
              <w:rPr>
                <w:rFonts w:hint="default" w:ascii="宋体" w:hAnsi="宋体" w:cs="宋体"/>
                <w:sz w:val="20"/>
                <w:szCs w:val="20"/>
                <w:lang w:val="en-US"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3.31</w:t>
            </w:r>
          </w:p>
        </w:tc>
        <w:tc>
          <w:tcPr>
            <w:tcW w:w="919" w:type="dxa"/>
          </w:tcPr>
          <w:p w14:paraId="1CC93135">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687BCA5E">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6CF86DBD">
            <w:pPr>
              <w:widowControl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20A54813">
            <w:pPr>
              <w:widowControl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3D776402">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67C423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52F156E">
            <w:pPr>
              <w:pStyle w:val="28"/>
              <w:widowControl w:val="0"/>
              <w:rPr>
                <w:rFonts w:hint="eastAsia"/>
              </w:rPr>
            </w:pPr>
          </w:p>
        </w:tc>
        <w:tc>
          <w:tcPr>
            <w:tcW w:w="919" w:type="dxa"/>
          </w:tcPr>
          <w:p w14:paraId="4F81CABF">
            <w:pPr>
              <w:pStyle w:val="28"/>
              <w:widowControl w:val="0"/>
              <w:rPr>
                <w:rFonts w:hint="eastAsia"/>
              </w:rPr>
            </w:pPr>
          </w:p>
        </w:tc>
        <w:tc>
          <w:tcPr>
            <w:tcW w:w="2289" w:type="dxa"/>
          </w:tcPr>
          <w:p w14:paraId="0EF2453D">
            <w:pPr>
              <w:pStyle w:val="28"/>
              <w:widowControl w:val="0"/>
              <w:rPr>
                <w:rFonts w:hint="eastAsia"/>
              </w:rPr>
            </w:pPr>
          </w:p>
        </w:tc>
        <w:tc>
          <w:tcPr>
            <w:tcW w:w="1148" w:type="dxa"/>
          </w:tcPr>
          <w:p w14:paraId="4F6AAA1E">
            <w:pPr>
              <w:widowControl w:val="0"/>
              <w:spacing w:before="172" w:line="228" w:lineRule="auto"/>
              <w:ind w:left="313"/>
            </w:pPr>
          </w:p>
        </w:tc>
        <w:tc>
          <w:tcPr>
            <w:tcW w:w="1150" w:type="dxa"/>
          </w:tcPr>
          <w:p w14:paraId="05B60F51">
            <w:pPr>
              <w:widowControl w:val="0"/>
              <w:spacing w:before="172" w:line="228" w:lineRule="auto"/>
              <w:ind w:left="313"/>
            </w:pPr>
          </w:p>
        </w:tc>
        <w:tc>
          <w:tcPr>
            <w:tcW w:w="1240" w:type="dxa"/>
          </w:tcPr>
          <w:p w14:paraId="78957525">
            <w:pPr>
              <w:pStyle w:val="28"/>
              <w:widowControl w:val="0"/>
              <w:rPr>
                <w:rFonts w:hint="eastAsia"/>
              </w:rPr>
            </w:pPr>
          </w:p>
        </w:tc>
      </w:tr>
      <w:tr w14:paraId="6148E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79E9A50">
            <w:pPr>
              <w:pStyle w:val="28"/>
              <w:widowControl w:val="0"/>
              <w:rPr>
                <w:rFonts w:hint="eastAsia"/>
              </w:rPr>
            </w:pPr>
          </w:p>
        </w:tc>
        <w:tc>
          <w:tcPr>
            <w:tcW w:w="919" w:type="dxa"/>
          </w:tcPr>
          <w:p w14:paraId="3653E12F">
            <w:pPr>
              <w:pStyle w:val="28"/>
              <w:widowControl w:val="0"/>
              <w:rPr>
                <w:rFonts w:hint="eastAsia"/>
              </w:rPr>
            </w:pPr>
          </w:p>
        </w:tc>
        <w:tc>
          <w:tcPr>
            <w:tcW w:w="2289" w:type="dxa"/>
          </w:tcPr>
          <w:p w14:paraId="50936727">
            <w:pPr>
              <w:pStyle w:val="28"/>
              <w:widowControl w:val="0"/>
              <w:rPr>
                <w:rFonts w:hint="eastAsia"/>
              </w:rPr>
            </w:pPr>
          </w:p>
        </w:tc>
        <w:tc>
          <w:tcPr>
            <w:tcW w:w="1148" w:type="dxa"/>
          </w:tcPr>
          <w:p w14:paraId="1399AE50">
            <w:pPr>
              <w:widowControl w:val="0"/>
              <w:spacing w:before="173" w:line="229" w:lineRule="auto"/>
              <w:ind w:left="314"/>
            </w:pPr>
          </w:p>
        </w:tc>
        <w:tc>
          <w:tcPr>
            <w:tcW w:w="1150" w:type="dxa"/>
          </w:tcPr>
          <w:p w14:paraId="0241E480">
            <w:pPr>
              <w:widowControl w:val="0"/>
              <w:spacing w:before="173" w:line="229" w:lineRule="auto"/>
              <w:ind w:left="314"/>
            </w:pPr>
          </w:p>
        </w:tc>
        <w:tc>
          <w:tcPr>
            <w:tcW w:w="1240" w:type="dxa"/>
          </w:tcPr>
          <w:p w14:paraId="135C026D">
            <w:pPr>
              <w:pStyle w:val="28"/>
              <w:widowControl w:val="0"/>
              <w:rPr>
                <w:rFonts w:hint="eastAsia"/>
              </w:rPr>
            </w:pPr>
          </w:p>
        </w:tc>
      </w:tr>
      <w:tr w14:paraId="0B7A1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4091F5B">
            <w:pPr>
              <w:pStyle w:val="28"/>
              <w:widowControl w:val="0"/>
              <w:rPr>
                <w:rFonts w:hint="eastAsia"/>
              </w:rPr>
            </w:pPr>
          </w:p>
        </w:tc>
        <w:tc>
          <w:tcPr>
            <w:tcW w:w="919" w:type="dxa"/>
          </w:tcPr>
          <w:p w14:paraId="000E7751">
            <w:pPr>
              <w:pStyle w:val="28"/>
              <w:widowControl w:val="0"/>
              <w:rPr>
                <w:rFonts w:hint="eastAsia"/>
              </w:rPr>
            </w:pPr>
          </w:p>
        </w:tc>
        <w:tc>
          <w:tcPr>
            <w:tcW w:w="2289" w:type="dxa"/>
          </w:tcPr>
          <w:p w14:paraId="7BD1D2F4">
            <w:pPr>
              <w:pStyle w:val="28"/>
              <w:widowControl w:val="0"/>
              <w:rPr>
                <w:rFonts w:hint="eastAsia"/>
              </w:rPr>
            </w:pPr>
          </w:p>
        </w:tc>
        <w:tc>
          <w:tcPr>
            <w:tcW w:w="1148" w:type="dxa"/>
          </w:tcPr>
          <w:p w14:paraId="05F2E924">
            <w:pPr>
              <w:pStyle w:val="28"/>
              <w:widowControl w:val="0"/>
              <w:rPr>
                <w:rFonts w:hint="eastAsia"/>
              </w:rPr>
            </w:pPr>
          </w:p>
        </w:tc>
        <w:tc>
          <w:tcPr>
            <w:tcW w:w="1150" w:type="dxa"/>
          </w:tcPr>
          <w:p w14:paraId="21382F84">
            <w:pPr>
              <w:pStyle w:val="28"/>
              <w:widowControl w:val="0"/>
              <w:rPr>
                <w:rFonts w:hint="eastAsia"/>
              </w:rPr>
            </w:pPr>
          </w:p>
        </w:tc>
        <w:tc>
          <w:tcPr>
            <w:tcW w:w="1240" w:type="dxa"/>
          </w:tcPr>
          <w:p w14:paraId="5832A030">
            <w:pPr>
              <w:pStyle w:val="28"/>
              <w:widowControl w:val="0"/>
              <w:rPr>
                <w:rFonts w:hint="eastAsia"/>
              </w:rPr>
            </w:pPr>
          </w:p>
        </w:tc>
      </w:tr>
      <w:tr w14:paraId="58CA66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7322F25">
            <w:pPr>
              <w:pStyle w:val="28"/>
              <w:widowControl w:val="0"/>
              <w:rPr>
                <w:rFonts w:hint="eastAsia"/>
              </w:rPr>
            </w:pPr>
          </w:p>
        </w:tc>
        <w:tc>
          <w:tcPr>
            <w:tcW w:w="919" w:type="dxa"/>
          </w:tcPr>
          <w:p w14:paraId="430AA09B">
            <w:pPr>
              <w:pStyle w:val="28"/>
              <w:widowControl w:val="0"/>
              <w:rPr>
                <w:rFonts w:hint="eastAsia"/>
              </w:rPr>
            </w:pPr>
          </w:p>
        </w:tc>
        <w:tc>
          <w:tcPr>
            <w:tcW w:w="2289" w:type="dxa"/>
          </w:tcPr>
          <w:p w14:paraId="42F760D3">
            <w:pPr>
              <w:pStyle w:val="28"/>
              <w:widowControl w:val="0"/>
              <w:rPr>
                <w:rFonts w:hint="eastAsia"/>
              </w:rPr>
            </w:pPr>
          </w:p>
        </w:tc>
        <w:tc>
          <w:tcPr>
            <w:tcW w:w="1148" w:type="dxa"/>
          </w:tcPr>
          <w:p w14:paraId="7218F225">
            <w:pPr>
              <w:pStyle w:val="28"/>
              <w:widowControl w:val="0"/>
              <w:rPr>
                <w:rFonts w:hint="eastAsia"/>
              </w:rPr>
            </w:pPr>
          </w:p>
        </w:tc>
        <w:tc>
          <w:tcPr>
            <w:tcW w:w="1150" w:type="dxa"/>
          </w:tcPr>
          <w:p w14:paraId="52C8AE0E">
            <w:pPr>
              <w:pStyle w:val="28"/>
              <w:widowControl w:val="0"/>
              <w:rPr>
                <w:rFonts w:hint="eastAsia"/>
              </w:rPr>
            </w:pPr>
          </w:p>
        </w:tc>
        <w:tc>
          <w:tcPr>
            <w:tcW w:w="1240" w:type="dxa"/>
          </w:tcPr>
          <w:p w14:paraId="555704F2">
            <w:pPr>
              <w:pStyle w:val="28"/>
              <w:widowControl w:val="0"/>
              <w:rPr>
                <w:rFonts w:hint="eastAsia"/>
              </w:rPr>
            </w:pPr>
          </w:p>
        </w:tc>
      </w:tr>
      <w:tr w14:paraId="5188F3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5B01DCB">
            <w:pPr>
              <w:pStyle w:val="28"/>
              <w:widowControl w:val="0"/>
              <w:rPr>
                <w:rFonts w:hint="eastAsia"/>
              </w:rPr>
            </w:pPr>
          </w:p>
        </w:tc>
        <w:tc>
          <w:tcPr>
            <w:tcW w:w="919" w:type="dxa"/>
          </w:tcPr>
          <w:p w14:paraId="70DB2FF0">
            <w:pPr>
              <w:pStyle w:val="28"/>
              <w:widowControl w:val="0"/>
              <w:rPr>
                <w:rFonts w:hint="eastAsia"/>
              </w:rPr>
            </w:pPr>
          </w:p>
        </w:tc>
        <w:tc>
          <w:tcPr>
            <w:tcW w:w="2289" w:type="dxa"/>
          </w:tcPr>
          <w:p w14:paraId="43EC92EE">
            <w:pPr>
              <w:pStyle w:val="28"/>
              <w:widowControl w:val="0"/>
              <w:rPr>
                <w:rFonts w:hint="eastAsia"/>
              </w:rPr>
            </w:pPr>
          </w:p>
        </w:tc>
        <w:tc>
          <w:tcPr>
            <w:tcW w:w="1148" w:type="dxa"/>
          </w:tcPr>
          <w:p w14:paraId="1F5A0988">
            <w:pPr>
              <w:pStyle w:val="28"/>
              <w:widowControl w:val="0"/>
              <w:rPr>
                <w:rFonts w:hint="eastAsia"/>
              </w:rPr>
            </w:pPr>
          </w:p>
        </w:tc>
        <w:tc>
          <w:tcPr>
            <w:tcW w:w="1150" w:type="dxa"/>
          </w:tcPr>
          <w:p w14:paraId="31CD4E0C">
            <w:pPr>
              <w:pStyle w:val="28"/>
              <w:widowControl w:val="0"/>
              <w:rPr>
                <w:rFonts w:hint="eastAsia"/>
              </w:rPr>
            </w:pPr>
          </w:p>
        </w:tc>
        <w:tc>
          <w:tcPr>
            <w:tcW w:w="1240" w:type="dxa"/>
          </w:tcPr>
          <w:p w14:paraId="4CD85468">
            <w:pPr>
              <w:pStyle w:val="28"/>
              <w:widowControl w:val="0"/>
              <w:rPr>
                <w:rFonts w:hint="eastAsia"/>
              </w:rPr>
            </w:pPr>
          </w:p>
        </w:tc>
      </w:tr>
    </w:tbl>
    <w:p w14:paraId="5D9D5692">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61C26F6F">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280F30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_Toc23373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_Toc23373 \h </w:instrText>
          </w:r>
          <w:r>
            <w:fldChar w:fldCharType="separate"/>
          </w:r>
          <w:r>
            <w:t>1</w:t>
          </w:r>
          <w:r>
            <w:fldChar w:fldCharType="end"/>
          </w:r>
          <w:r>
            <w:rPr>
              <w:rFonts w:hint="eastAsia" w:ascii="宋体" w:hAnsi="宋体" w:eastAsia="宋体" w:cs="宋体"/>
              <w:szCs w:val="24"/>
            </w:rPr>
            <w:fldChar w:fldCharType="end"/>
          </w:r>
        </w:p>
        <w:p w14:paraId="63283C1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_Toc2598 </w:instrText>
          </w:r>
          <w:r>
            <w:rPr>
              <w:rFonts w:hint="eastAsia" w:ascii="宋体" w:hAnsi="宋体" w:cs="宋体"/>
              <w:szCs w:val="24"/>
            </w:rPr>
            <w:fldChar w:fldCharType="separate"/>
          </w:r>
          <w:r>
            <w:rPr>
              <w:rFonts w:hint="eastAsia"/>
              <w:szCs w:val="30"/>
              <w:lang w:eastAsia="zh-CN"/>
            </w:rPr>
            <w:t>天津港引航中心引航信息系统及设备维护项目</w:t>
          </w:r>
          <w:r>
            <w:rPr>
              <w:rFonts w:hint="eastAsia"/>
              <w:szCs w:val="30"/>
              <w:lang w:val="en-US" w:eastAsia="zh-CN"/>
            </w:rPr>
            <w:t>2026年第一季度</w:t>
          </w:r>
          <w:r>
            <w:rPr>
              <w:rFonts w:hint="eastAsia"/>
              <w:szCs w:val="30"/>
              <w:lang w:eastAsia="zh-CN"/>
            </w:rPr>
            <w:t>阶段性总结报告</w:t>
          </w:r>
          <w:r>
            <w:rPr>
              <w:rFonts w:hint="eastAsia"/>
              <w:lang w:eastAsia="zh-CN"/>
            </w:rPr>
            <w:t xml:space="preserve"> </w:t>
          </w:r>
          <w:r>
            <w:tab/>
          </w:r>
          <w:r>
            <w:fldChar w:fldCharType="begin"/>
          </w:r>
          <w:r>
            <w:instrText xml:space="preserve"> PAGEREF _Toc2598 \h </w:instrText>
          </w:r>
          <w:r>
            <w:fldChar w:fldCharType="separate"/>
          </w:r>
          <w:r>
            <w:t>1</w:t>
          </w:r>
          <w:r>
            <w:fldChar w:fldCharType="end"/>
          </w:r>
          <w:r>
            <w:rPr>
              <w:rFonts w:hint="eastAsia" w:ascii="宋体" w:hAnsi="宋体" w:cs="宋体"/>
              <w:szCs w:val="24"/>
            </w:rPr>
            <w:fldChar w:fldCharType="end"/>
          </w:r>
        </w:p>
        <w:p w14:paraId="15777D6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_Toc8179 </w:instrText>
          </w:r>
          <w:r>
            <w:rPr>
              <w:rFonts w:hint="eastAsia" w:ascii="宋体" w:hAnsi="宋体" w:cs="宋体"/>
              <w:szCs w:val="24"/>
            </w:rPr>
            <w:fldChar w:fldCharType="separate"/>
          </w:r>
          <w:r>
            <w:rPr>
              <w:rFonts w:hint="default"/>
            </w:rPr>
            <w:t xml:space="preserve">1. </w:t>
          </w:r>
          <w:r>
            <w:t>报告概述</w:t>
          </w:r>
          <w:r>
            <w:tab/>
          </w:r>
          <w:r>
            <w:fldChar w:fldCharType="begin"/>
          </w:r>
          <w:r>
            <w:instrText xml:space="preserve"> PAGEREF _Toc8179 \h </w:instrText>
          </w:r>
          <w:r>
            <w:fldChar w:fldCharType="separate"/>
          </w:r>
          <w:r>
            <w:t>4</w:t>
          </w:r>
          <w:r>
            <w:fldChar w:fldCharType="end"/>
          </w:r>
          <w:r>
            <w:rPr>
              <w:rFonts w:hint="eastAsia" w:ascii="宋体" w:hAnsi="宋体" w:cs="宋体"/>
              <w:szCs w:val="24"/>
            </w:rPr>
            <w:fldChar w:fldCharType="end"/>
          </w:r>
        </w:p>
        <w:p w14:paraId="4AE5BBD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_Toc5039 </w:instrText>
          </w:r>
          <w:r>
            <w:rPr>
              <w:rFonts w:hint="eastAsia" w:ascii="宋体" w:hAnsi="宋体" w:cs="宋体"/>
              <w:szCs w:val="24"/>
            </w:rPr>
            <w:fldChar w:fldCharType="separate"/>
          </w:r>
          <w:r>
            <w:rPr>
              <w:rFonts w:hint="default"/>
            </w:rPr>
            <w:t xml:space="preserve">1.1. </w:t>
          </w:r>
          <w:r>
            <w:t>报告目的</w:t>
          </w:r>
          <w:r>
            <w:tab/>
          </w:r>
          <w:r>
            <w:fldChar w:fldCharType="begin"/>
          </w:r>
          <w:r>
            <w:instrText xml:space="preserve"> PAGEREF _Toc5039 \h </w:instrText>
          </w:r>
          <w:r>
            <w:fldChar w:fldCharType="separate"/>
          </w:r>
          <w:r>
            <w:t>4</w:t>
          </w:r>
          <w:r>
            <w:fldChar w:fldCharType="end"/>
          </w:r>
          <w:r>
            <w:rPr>
              <w:rFonts w:hint="eastAsia" w:ascii="宋体" w:hAnsi="宋体" w:cs="宋体"/>
              <w:szCs w:val="24"/>
            </w:rPr>
            <w:fldChar w:fldCharType="end"/>
          </w:r>
        </w:p>
        <w:p w14:paraId="6913BE8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_Toc1151 </w:instrText>
          </w:r>
          <w:r>
            <w:rPr>
              <w:rFonts w:hint="eastAsia" w:ascii="宋体" w:hAnsi="宋体" w:cs="宋体"/>
              <w:szCs w:val="24"/>
            </w:rPr>
            <w:fldChar w:fldCharType="separate"/>
          </w:r>
          <w:r>
            <w:rPr>
              <w:rFonts w:hint="default"/>
            </w:rPr>
            <w:t xml:space="preserve">1.2. </w:t>
          </w:r>
          <w:r>
            <w:t>报告期间</w:t>
          </w:r>
          <w:r>
            <w:tab/>
          </w:r>
          <w:r>
            <w:fldChar w:fldCharType="begin"/>
          </w:r>
          <w:r>
            <w:instrText xml:space="preserve"> PAGEREF _Toc1151 \h </w:instrText>
          </w:r>
          <w:r>
            <w:fldChar w:fldCharType="separate"/>
          </w:r>
          <w:r>
            <w:t>4</w:t>
          </w:r>
          <w:r>
            <w:fldChar w:fldCharType="end"/>
          </w:r>
          <w:r>
            <w:rPr>
              <w:rFonts w:hint="eastAsia" w:ascii="宋体" w:hAnsi="宋体" w:cs="宋体"/>
              <w:szCs w:val="24"/>
            </w:rPr>
            <w:fldChar w:fldCharType="end"/>
          </w:r>
        </w:p>
        <w:p w14:paraId="04667B5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_Toc19381 </w:instrText>
          </w:r>
          <w:r>
            <w:rPr>
              <w:rFonts w:hint="eastAsia" w:ascii="宋体" w:hAnsi="宋体" w:cs="宋体"/>
              <w:szCs w:val="24"/>
            </w:rPr>
            <w:fldChar w:fldCharType="separate"/>
          </w:r>
          <w:r>
            <w:rPr>
              <w:rFonts w:hint="default"/>
            </w:rPr>
            <w:t xml:space="preserve">1.3. </w:t>
          </w:r>
          <w:r>
            <w:t>总体评价</w:t>
          </w:r>
          <w:r>
            <w:tab/>
          </w:r>
          <w:r>
            <w:fldChar w:fldCharType="begin"/>
          </w:r>
          <w:r>
            <w:instrText xml:space="preserve"> PAGEREF _Toc19381 \h </w:instrText>
          </w:r>
          <w:r>
            <w:fldChar w:fldCharType="separate"/>
          </w:r>
          <w:r>
            <w:t>4</w:t>
          </w:r>
          <w:r>
            <w:fldChar w:fldCharType="end"/>
          </w:r>
          <w:r>
            <w:rPr>
              <w:rFonts w:hint="eastAsia" w:ascii="宋体" w:hAnsi="宋体" w:cs="宋体"/>
              <w:szCs w:val="24"/>
            </w:rPr>
            <w:fldChar w:fldCharType="end"/>
          </w:r>
        </w:p>
        <w:p w14:paraId="3360D63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_Toc28693 </w:instrText>
          </w:r>
          <w:r>
            <w:rPr>
              <w:rFonts w:hint="eastAsia" w:ascii="宋体" w:hAnsi="宋体" w:cs="宋体"/>
              <w:szCs w:val="24"/>
            </w:rPr>
            <w:fldChar w:fldCharType="separate"/>
          </w:r>
          <w:r>
            <w:rPr>
              <w:rFonts w:hint="default"/>
            </w:rPr>
            <w:t xml:space="preserve">2. </w:t>
          </w:r>
          <w:r>
            <w:t>服务运行情况</w:t>
          </w:r>
          <w:r>
            <w:tab/>
          </w:r>
          <w:r>
            <w:fldChar w:fldCharType="begin"/>
          </w:r>
          <w:r>
            <w:instrText xml:space="preserve"> PAGEREF _Toc28693 \h </w:instrText>
          </w:r>
          <w:r>
            <w:fldChar w:fldCharType="separate"/>
          </w:r>
          <w:r>
            <w:t>4</w:t>
          </w:r>
          <w:r>
            <w:fldChar w:fldCharType="end"/>
          </w:r>
          <w:r>
            <w:rPr>
              <w:rFonts w:hint="eastAsia" w:ascii="宋体" w:hAnsi="宋体" w:cs="宋体"/>
              <w:szCs w:val="24"/>
            </w:rPr>
            <w:fldChar w:fldCharType="end"/>
          </w:r>
        </w:p>
        <w:p w14:paraId="2EC1F8B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_Toc33 </w:instrText>
          </w:r>
          <w:r>
            <w:rPr>
              <w:rFonts w:hint="eastAsia" w:ascii="宋体" w:hAnsi="宋体" w:cs="宋体"/>
              <w:szCs w:val="24"/>
            </w:rPr>
            <w:fldChar w:fldCharType="separate"/>
          </w:r>
          <w:r>
            <w:rPr>
              <w:rFonts w:hint="default"/>
            </w:rPr>
            <w:t xml:space="preserve">2.1. </w:t>
          </w:r>
          <w:r>
            <w:t>日常服务响应</w:t>
          </w:r>
          <w:r>
            <w:tab/>
          </w:r>
          <w:r>
            <w:fldChar w:fldCharType="begin"/>
          </w:r>
          <w:r>
            <w:instrText xml:space="preserve"> PAGEREF _Toc33 \h </w:instrText>
          </w:r>
          <w:r>
            <w:fldChar w:fldCharType="separate"/>
          </w:r>
          <w:r>
            <w:t>4</w:t>
          </w:r>
          <w:r>
            <w:fldChar w:fldCharType="end"/>
          </w:r>
          <w:r>
            <w:rPr>
              <w:rFonts w:hint="eastAsia" w:ascii="宋体" w:hAnsi="宋体" w:cs="宋体"/>
              <w:szCs w:val="24"/>
            </w:rPr>
            <w:fldChar w:fldCharType="end"/>
          </w:r>
        </w:p>
        <w:p w14:paraId="00D896A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_Toc22246 </w:instrText>
          </w:r>
          <w:r>
            <w:rPr>
              <w:rFonts w:hint="eastAsia" w:ascii="宋体" w:hAnsi="宋体" w:cs="宋体"/>
              <w:szCs w:val="24"/>
            </w:rPr>
            <w:fldChar w:fldCharType="separate"/>
          </w:r>
          <w:r>
            <w:rPr>
              <w:rFonts w:hint="default"/>
            </w:rPr>
            <w:t xml:space="preserve">2.2. </w:t>
          </w:r>
          <w:r>
            <w:t>春节假期专项保障</w:t>
          </w:r>
          <w:r>
            <w:tab/>
          </w:r>
          <w:r>
            <w:fldChar w:fldCharType="begin"/>
          </w:r>
          <w:r>
            <w:instrText xml:space="preserve"> PAGEREF _Toc22246 \h </w:instrText>
          </w:r>
          <w:r>
            <w:fldChar w:fldCharType="separate"/>
          </w:r>
          <w:r>
            <w:t>5</w:t>
          </w:r>
          <w:r>
            <w:fldChar w:fldCharType="end"/>
          </w:r>
          <w:r>
            <w:rPr>
              <w:rFonts w:hint="eastAsia" w:ascii="宋体" w:hAnsi="宋体" w:cs="宋体"/>
              <w:szCs w:val="24"/>
            </w:rPr>
            <w:fldChar w:fldCharType="end"/>
          </w:r>
        </w:p>
        <w:p w14:paraId="745ECBA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_Toc649 </w:instrText>
          </w:r>
          <w:r>
            <w:rPr>
              <w:rFonts w:hint="eastAsia" w:ascii="宋体" w:hAnsi="宋体" w:cs="宋体"/>
              <w:szCs w:val="24"/>
            </w:rPr>
            <w:fldChar w:fldCharType="separate"/>
          </w:r>
          <w:r>
            <w:rPr>
              <w:rFonts w:hint="default"/>
            </w:rPr>
            <w:t xml:space="preserve">2.3. </w:t>
          </w:r>
          <w:r>
            <w:t>月度系统体检</w:t>
          </w:r>
          <w:r>
            <w:tab/>
          </w:r>
          <w:r>
            <w:fldChar w:fldCharType="begin"/>
          </w:r>
          <w:r>
            <w:instrText xml:space="preserve"> PAGEREF _Toc649 \h </w:instrText>
          </w:r>
          <w:r>
            <w:fldChar w:fldCharType="separate"/>
          </w:r>
          <w:r>
            <w:t>5</w:t>
          </w:r>
          <w:r>
            <w:fldChar w:fldCharType="end"/>
          </w:r>
          <w:r>
            <w:rPr>
              <w:rFonts w:hint="eastAsia" w:ascii="宋体" w:hAnsi="宋体" w:cs="宋体"/>
              <w:szCs w:val="24"/>
            </w:rPr>
            <w:fldChar w:fldCharType="end"/>
          </w:r>
        </w:p>
        <w:p w14:paraId="7667A140">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_Toc25013 </w:instrText>
          </w:r>
          <w:r>
            <w:rPr>
              <w:rFonts w:hint="eastAsia" w:ascii="宋体" w:hAnsi="宋体" w:cs="宋体"/>
              <w:szCs w:val="24"/>
            </w:rPr>
            <w:fldChar w:fldCharType="separate"/>
          </w:r>
          <w:r>
            <w:rPr>
              <w:rFonts w:hint="default"/>
            </w:rPr>
            <w:t xml:space="preserve">3. </w:t>
          </w:r>
          <w:r>
            <w:t>数据质量保障情况</w:t>
          </w:r>
          <w:r>
            <w:tab/>
          </w:r>
          <w:r>
            <w:fldChar w:fldCharType="begin"/>
          </w:r>
          <w:r>
            <w:instrText xml:space="preserve"> PAGEREF _Toc25013 \h </w:instrText>
          </w:r>
          <w:r>
            <w:fldChar w:fldCharType="separate"/>
          </w:r>
          <w:r>
            <w:t>5</w:t>
          </w:r>
          <w:r>
            <w:fldChar w:fldCharType="end"/>
          </w:r>
          <w:r>
            <w:rPr>
              <w:rFonts w:hint="eastAsia" w:ascii="宋体" w:hAnsi="宋体" w:cs="宋体"/>
              <w:szCs w:val="24"/>
            </w:rPr>
            <w:fldChar w:fldCharType="end"/>
          </w:r>
        </w:p>
        <w:p w14:paraId="7321046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_Toc2084 </w:instrText>
          </w:r>
          <w:r>
            <w:rPr>
              <w:rFonts w:hint="eastAsia" w:ascii="宋体" w:hAnsi="宋体" w:cs="宋体"/>
              <w:szCs w:val="24"/>
            </w:rPr>
            <w:fldChar w:fldCharType="separate"/>
          </w:r>
          <w:r>
            <w:rPr>
              <w:rFonts w:hint="default"/>
            </w:rPr>
            <w:t xml:space="preserve">3.1. </w:t>
          </w:r>
          <w:r>
            <w:t>日常监控与日报机制</w:t>
          </w:r>
          <w:r>
            <w:tab/>
          </w:r>
          <w:r>
            <w:fldChar w:fldCharType="begin"/>
          </w:r>
          <w:r>
            <w:instrText xml:space="preserve"> PAGEREF _Toc2084 \h </w:instrText>
          </w:r>
          <w:r>
            <w:fldChar w:fldCharType="separate"/>
          </w:r>
          <w:r>
            <w:t>5</w:t>
          </w:r>
          <w:r>
            <w:fldChar w:fldCharType="end"/>
          </w:r>
          <w:r>
            <w:rPr>
              <w:rFonts w:hint="eastAsia" w:ascii="宋体" w:hAnsi="宋体" w:cs="宋体"/>
              <w:szCs w:val="24"/>
            </w:rPr>
            <w:fldChar w:fldCharType="end"/>
          </w:r>
        </w:p>
        <w:p w14:paraId="740A7BE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_Toc19059 </w:instrText>
          </w:r>
          <w:r>
            <w:rPr>
              <w:rFonts w:hint="eastAsia" w:ascii="宋体" w:hAnsi="宋体" w:cs="宋体"/>
              <w:szCs w:val="24"/>
            </w:rPr>
            <w:fldChar w:fldCharType="separate"/>
          </w:r>
          <w:r>
            <w:rPr>
              <w:rFonts w:hint="default"/>
            </w:rPr>
            <w:t xml:space="preserve">3.2. </w:t>
          </w:r>
          <w:r>
            <w:t>核心指标达成情况</w:t>
          </w:r>
          <w:r>
            <w:tab/>
          </w:r>
          <w:r>
            <w:fldChar w:fldCharType="begin"/>
          </w:r>
          <w:r>
            <w:instrText xml:space="preserve"> PAGEREF _Toc19059 \h </w:instrText>
          </w:r>
          <w:r>
            <w:fldChar w:fldCharType="separate"/>
          </w:r>
          <w:r>
            <w:t>6</w:t>
          </w:r>
          <w:r>
            <w:fldChar w:fldCharType="end"/>
          </w:r>
          <w:r>
            <w:rPr>
              <w:rFonts w:hint="eastAsia" w:ascii="宋体" w:hAnsi="宋体" w:cs="宋体"/>
              <w:szCs w:val="24"/>
            </w:rPr>
            <w:fldChar w:fldCharType="end"/>
          </w:r>
        </w:p>
        <w:p w14:paraId="44B0187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_Toc7778 </w:instrText>
          </w:r>
          <w:r>
            <w:rPr>
              <w:rFonts w:hint="eastAsia" w:ascii="宋体" w:hAnsi="宋体" w:cs="宋体"/>
              <w:szCs w:val="24"/>
            </w:rPr>
            <w:fldChar w:fldCharType="separate"/>
          </w:r>
          <w:r>
            <w:rPr>
              <w:rFonts w:hint="default"/>
            </w:rPr>
            <w:t xml:space="preserve">3.3. </w:t>
          </w:r>
          <w:r>
            <w:t>清洗规则优化迭代</w:t>
          </w:r>
          <w:r>
            <w:tab/>
          </w:r>
          <w:r>
            <w:fldChar w:fldCharType="begin"/>
          </w:r>
          <w:r>
            <w:instrText xml:space="preserve"> PAGEREF _Toc7778 \h </w:instrText>
          </w:r>
          <w:r>
            <w:fldChar w:fldCharType="separate"/>
          </w:r>
          <w:r>
            <w:t>6</w:t>
          </w:r>
          <w:r>
            <w:fldChar w:fldCharType="end"/>
          </w:r>
          <w:r>
            <w:rPr>
              <w:rFonts w:hint="eastAsia" w:ascii="宋体" w:hAnsi="宋体" w:cs="宋体"/>
              <w:szCs w:val="24"/>
            </w:rPr>
            <w:fldChar w:fldCharType="end"/>
          </w:r>
        </w:p>
        <w:p w14:paraId="2576C1F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_Toc24298 </w:instrText>
          </w:r>
          <w:r>
            <w:rPr>
              <w:rFonts w:hint="eastAsia" w:ascii="宋体" w:hAnsi="宋体" w:cs="宋体"/>
              <w:szCs w:val="24"/>
            </w:rPr>
            <w:fldChar w:fldCharType="separate"/>
          </w:r>
          <w:r>
            <w:rPr>
              <w:rFonts w:hint="default"/>
            </w:rPr>
            <w:t xml:space="preserve">4. </w:t>
          </w:r>
          <w:r>
            <w:t>系统优化与知识积累</w:t>
          </w:r>
          <w:r>
            <w:tab/>
          </w:r>
          <w:r>
            <w:fldChar w:fldCharType="begin"/>
          </w:r>
          <w:r>
            <w:instrText xml:space="preserve"> PAGEREF _Toc24298 \h </w:instrText>
          </w:r>
          <w:r>
            <w:fldChar w:fldCharType="separate"/>
          </w:r>
          <w:r>
            <w:t>6</w:t>
          </w:r>
          <w:r>
            <w:fldChar w:fldCharType="end"/>
          </w:r>
          <w:r>
            <w:rPr>
              <w:rFonts w:hint="eastAsia" w:ascii="宋体" w:hAnsi="宋体" w:cs="宋体"/>
              <w:szCs w:val="24"/>
            </w:rPr>
            <w:fldChar w:fldCharType="end"/>
          </w:r>
        </w:p>
        <w:p w14:paraId="5AA7BDB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_Toc390 </w:instrText>
          </w:r>
          <w:r>
            <w:rPr>
              <w:rFonts w:hint="eastAsia" w:ascii="宋体" w:hAnsi="宋体" w:cs="宋体"/>
              <w:szCs w:val="24"/>
            </w:rPr>
            <w:fldChar w:fldCharType="separate"/>
          </w:r>
          <w:r>
            <w:rPr>
              <w:rFonts w:hint="default"/>
            </w:rPr>
            <w:t xml:space="preserve">4.1. </w:t>
          </w:r>
          <w:r>
            <w:t>性能优化</w:t>
          </w:r>
          <w:r>
            <w:tab/>
          </w:r>
          <w:r>
            <w:fldChar w:fldCharType="begin"/>
          </w:r>
          <w:r>
            <w:instrText xml:space="preserve"> PAGEREF _Toc390 \h </w:instrText>
          </w:r>
          <w:r>
            <w:fldChar w:fldCharType="separate"/>
          </w:r>
          <w:r>
            <w:t>6</w:t>
          </w:r>
          <w:r>
            <w:fldChar w:fldCharType="end"/>
          </w:r>
          <w:r>
            <w:rPr>
              <w:rFonts w:hint="eastAsia" w:ascii="宋体" w:hAnsi="宋体" w:cs="宋体"/>
              <w:szCs w:val="24"/>
            </w:rPr>
            <w:fldChar w:fldCharType="end"/>
          </w:r>
        </w:p>
        <w:p w14:paraId="179C3A1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_Toc24970 </w:instrText>
          </w:r>
          <w:r>
            <w:rPr>
              <w:rFonts w:hint="eastAsia" w:ascii="宋体" w:hAnsi="宋体" w:cs="宋体"/>
              <w:szCs w:val="24"/>
            </w:rPr>
            <w:fldChar w:fldCharType="separate"/>
          </w:r>
          <w:r>
            <w:rPr>
              <w:rFonts w:hint="default"/>
            </w:rPr>
            <w:t xml:space="preserve">4.2. </w:t>
          </w:r>
          <w:r>
            <w:t>客户培训</w:t>
          </w:r>
          <w:r>
            <w:tab/>
          </w:r>
          <w:r>
            <w:fldChar w:fldCharType="begin"/>
          </w:r>
          <w:r>
            <w:instrText xml:space="preserve"> PAGEREF _Toc24970 \h </w:instrText>
          </w:r>
          <w:r>
            <w:fldChar w:fldCharType="separate"/>
          </w:r>
          <w:r>
            <w:t>7</w:t>
          </w:r>
          <w:r>
            <w:fldChar w:fldCharType="end"/>
          </w:r>
          <w:r>
            <w:rPr>
              <w:rFonts w:hint="eastAsia" w:ascii="宋体" w:hAnsi="宋体" w:cs="宋体"/>
              <w:szCs w:val="24"/>
            </w:rPr>
            <w:fldChar w:fldCharType="end"/>
          </w:r>
        </w:p>
        <w:p w14:paraId="7914980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_Toc19620 </w:instrText>
          </w:r>
          <w:r>
            <w:rPr>
              <w:rFonts w:hint="eastAsia" w:ascii="宋体" w:hAnsi="宋体" w:cs="宋体"/>
              <w:szCs w:val="24"/>
            </w:rPr>
            <w:fldChar w:fldCharType="separate"/>
          </w:r>
          <w:r>
            <w:rPr>
              <w:rFonts w:hint="default"/>
            </w:rPr>
            <w:t xml:space="preserve">5. </w:t>
          </w:r>
          <w:r>
            <w:t>问题与改进</w:t>
          </w:r>
          <w:r>
            <w:tab/>
          </w:r>
          <w:r>
            <w:fldChar w:fldCharType="begin"/>
          </w:r>
          <w:r>
            <w:instrText xml:space="preserve"> PAGEREF _Toc19620 \h </w:instrText>
          </w:r>
          <w:r>
            <w:fldChar w:fldCharType="separate"/>
          </w:r>
          <w:r>
            <w:t>7</w:t>
          </w:r>
          <w:r>
            <w:fldChar w:fldCharType="end"/>
          </w:r>
          <w:r>
            <w:rPr>
              <w:rFonts w:hint="eastAsia" w:ascii="宋体" w:hAnsi="宋体" w:cs="宋体"/>
              <w:szCs w:val="24"/>
            </w:rPr>
            <w:fldChar w:fldCharType="end"/>
          </w:r>
        </w:p>
        <w:p w14:paraId="711189C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_Toc470 </w:instrText>
          </w:r>
          <w:r>
            <w:rPr>
              <w:rFonts w:hint="eastAsia" w:ascii="宋体" w:hAnsi="宋体" w:cs="宋体"/>
              <w:szCs w:val="24"/>
            </w:rPr>
            <w:fldChar w:fldCharType="separate"/>
          </w:r>
          <w:r>
            <w:rPr>
              <w:rFonts w:hint="default"/>
            </w:rPr>
            <w:t xml:space="preserve">5.1. </w:t>
          </w:r>
          <w:r>
            <w:t>本季度遇到的问题</w:t>
          </w:r>
          <w:r>
            <w:tab/>
          </w:r>
          <w:r>
            <w:fldChar w:fldCharType="begin"/>
          </w:r>
          <w:r>
            <w:instrText xml:space="preserve"> PAGEREF _Toc470 \h </w:instrText>
          </w:r>
          <w:r>
            <w:fldChar w:fldCharType="separate"/>
          </w:r>
          <w:r>
            <w:t>7</w:t>
          </w:r>
          <w:r>
            <w:fldChar w:fldCharType="end"/>
          </w:r>
          <w:r>
            <w:rPr>
              <w:rFonts w:hint="eastAsia" w:ascii="宋体" w:hAnsi="宋体" w:cs="宋体"/>
              <w:szCs w:val="24"/>
            </w:rPr>
            <w:fldChar w:fldCharType="end"/>
          </w:r>
        </w:p>
        <w:p w14:paraId="2E2F6A6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_Toc30448 </w:instrText>
          </w:r>
          <w:r>
            <w:rPr>
              <w:rFonts w:hint="eastAsia" w:ascii="宋体" w:hAnsi="宋体" w:cs="宋体"/>
              <w:szCs w:val="24"/>
            </w:rPr>
            <w:fldChar w:fldCharType="separate"/>
          </w:r>
          <w:r>
            <w:rPr>
              <w:rFonts w:hint="default"/>
            </w:rPr>
            <w:t xml:space="preserve">5.2. </w:t>
          </w:r>
          <w:r>
            <w:t>存在的不足</w:t>
          </w:r>
          <w:r>
            <w:tab/>
          </w:r>
          <w:r>
            <w:fldChar w:fldCharType="begin"/>
          </w:r>
          <w:r>
            <w:instrText xml:space="preserve"> PAGEREF _Toc30448 \h </w:instrText>
          </w:r>
          <w:r>
            <w:fldChar w:fldCharType="separate"/>
          </w:r>
          <w:r>
            <w:t>7</w:t>
          </w:r>
          <w:r>
            <w:fldChar w:fldCharType="end"/>
          </w:r>
          <w:r>
            <w:rPr>
              <w:rFonts w:hint="eastAsia" w:ascii="宋体" w:hAnsi="宋体" w:cs="宋体"/>
              <w:szCs w:val="24"/>
            </w:rPr>
            <w:fldChar w:fldCharType="end"/>
          </w:r>
        </w:p>
        <w:p w14:paraId="5A92406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_Toc12549 </w:instrText>
          </w:r>
          <w:r>
            <w:rPr>
              <w:rFonts w:hint="eastAsia" w:ascii="宋体" w:hAnsi="宋体" w:cs="宋体"/>
              <w:szCs w:val="24"/>
            </w:rPr>
            <w:fldChar w:fldCharType="separate"/>
          </w:r>
          <w:r>
            <w:rPr>
              <w:rFonts w:hint="default"/>
            </w:rPr>
            <w:t xml:space="preserve">5.3. </w:t>
          </w:r>
          <w:r>
            <w:t>经验总结</w:t>
          </w:r>
          <w:r>
            <w:tab/>
          </w:r>
          <w:r>
            <w:fldChar w:fldCharType="begin"/>
          </w:r>
          <w:r>
            <w:instrText xml:space="preserve"> PAGEREF _Toc12549 \h </w:instrText>
          </w:r>
          <w:r>
            <w:fldChar w:fldCharType="separate"/>
          </w:r>
          <w:r>
            <w:t>8</w:t>
          </w:r>
          <w:r>
            <w:fldChar w:fldCharType="end"/>
          </w:r>
          <w:r>
            <w:rPr>
              <w:rFonts w:hint="eastAsia" w:ascii="宋体" w:hAnsi="宋体" w:cs="宋体"/>
              <w:szCs w:val="24"/>
            </w:rPr>
            <w:fldChar w:fldCharType="end"/>
          </w:r>
        </w:p>
        <w:p w14:paraId="351D865D">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_Toc28749 </w:instrText>
          </w:r>
          <w:r>
            <w:rPr>
              <w:rFonts w:hint="eastAsia" w:ascii="宋体" w:hAnsi="宋体" w:cs="宋体"/>
              <w:szCs w:val="24"/>
            </w:rPr>
            <w:fldChar w:fldCharType="separate"/>
          </w:r>
          <w:r>
            <w:rPr>
              <w:rFonts w:hint="default"/>
            </w:rPr>
            <w:t xml:space="preserve">6. </w:t>
          </w:r>
          <w:r>
            <w:t>下一季度工作计划</w:t>
          </w:r>
          <w:r>
            <w:tab/>
          </w:r>
          <w:r>
            <w:fldChar w:fldCharType="begin"/>
          </w:r>
          <w:r>
            <w:instrText xml:space="preserve"> PAGEREF _Toc28749 \h </w:instrText>
          </w:r>
          <w:r>
            <w:fldChar w:fldCharType="separate"/>
          </w:r>
          <w:r>
            <w:t>8</w:t>
          </w:r>
          <w:r>
            <w:fldChar w:fldCharType="end"/>
          </w:r>
          <w:r>
            <w:rPr>
              <w:rFonts w:hint="eastAsia" w:ascii="宋体" w:hAnsi="宋体" w:cs="宋体"/>
              <w:szCs w:val="24"/>
            </w:rPr>
            <w:fldChar w:fldCharType="end"/>
          </w:r>
        </w:p>
        <w:p w14:paraId="45BDE89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_Toc31950 </w:instrText>
          </w:r>
          <w:r>
            <w:rPr>
              <w:rFonts w:hint="eastAsia" w:ascii="宋体" w:hAnsi="宋体" w:cs="宋体"/>
              <w:szCs w:val="24"/>
            </w:rPr>
            <w:fldChar w:fldCharType="separate"/>
          </w:r>
          <w:r>
            <w:rPr>
              <w:rFonts w:hint="default"/>
            </w:rPr>
            <w:t xml:space="preserve">7. </w:t>
          </w:r>
          <w:r>
            <w:t>结论</w:t>
          </w:r>
          <w:r>
            <w:tab/>
          </w:r>
          <w:r>
            <w:fldChar w:fldCharType="begin"/>
          </w:r>
          <w:r>
            <w:instrText xml:space="preserve"> PAGEREF _Toc31950 \h </w:instrText>
          </w:r>
          <w:r>
            <w:fldChar w:fldCharType="separate"/>
          </w:r>
          <w:r>
            <w:t>9</w:t>
          </w:r>
          <w:r>
            <w:fldChar w:fldCharType="end"/>
          </w:r>
          <w:r>
            <w:rPr>
              <w:rFonts w:hint="eastAsia" w:ascii="宋体" w:hAnsi="宋体" w:cs="宋体"/>
              <w:szCs w:val="24"/>
            </w:rPr>
            <w:fldChar w:fldCharType="end"/>
          </w:r>
        </w:p>
        <w:p w14:paraId="3B2F276C">
          <w:pPr>
            <w:widowControl w:val="0"/>
            <w:rPr>
              <w:rFonts w:hint="eastAsia" w:ascii="宋体" w:hAnsi="宋体" w:cs="宋体"/>
              <w:sz w:val="24"/>
              <w:szCs w:val="24"/>
            </w:rPr>
          </w:pPr>
          <w:r>
            <w:rPr>
              <w:rFonts w:hint="eastAsia" w:ascii="宋体" w:hAnsi="宋体" w:cs="宋体"/>
              <w:szCs w:val="24"/>
            </w:rPr>
            <w:fldChar w:fldCharType="end"/>
          </w:r>
        </w:p>
      </w:sdtContent>
    </w:sdt>
    <w:p w14:paraId="0FC26B8B">
      <w:pPr>
        <w:widowControl w:val="0"/>
        <w:rPr>
          <w:rFonts w:eastAsia="Arial"/>
        </w:rPr>
      </w:pPr>
      <w:r>
        <w:rPr>
          <w:rFonts w:eastAsia="Arial"/>
        </w:rPr>
        <w:br w:type="page"/>
      </w:r>
    </w:p>
    <w:p w14:paraId="2D2C03A0">
      <w:pPr>
        <w:pStyle w:val="29"/>
        <w:bidi w:val="0"/>
      </w:pPr>
      <w:bookmarkStart w:id="2" w:name="heading_0"/>
      <w:bookmarkStart w:id="3" w:name="_Toc8179"/>
      <w:r>
        <w:t>报告概述</w:t>
      </w:r>
      <w:bookmarkEnd w:id="2"/>
      <w:bookmarkEnd w:id="3"/>
    </w:p>
    <w:p w14:paraId="0A5E8E3B">
      <w:pPr>
        <w:pStyle w:val="31"/>
        <w:bidi w:val="0"/>
      </w:pPr>
      <w:bookmarkStart w:id="4" w:name="_Toc5039"/>
      <w:bookmarkStart w:id="5" w:name="heading_1"/>
      <w:r>
        <w:t>报告目的</w:t>
      </w:r>
      <w:bookmarkEnd w:id="4"/>
      <w:bookmarkEnd w:id="5"/>
    </w:p>
    <w:p w14:paraId="1834B6B2">
      <w:pPr>
        <w:pStyle w:val="30"/>
        <w:bidi w:val="0"/>
      </w:pPr>
      <w:r>
        <w:t>本报告旨在全面总结天津港引航中心引航信息系统及设备维护项目在2026年第一季度的运行情况，客观反映服务交付质量、数据质量达成情况以及系统运行状态，为项目后续工作提供决策依据。</w:t>
      </w:r>
    </w:p>
    <w:p w14:paraId="62C9EC28">
      <w:pPr>
        <w:pStyle w:val="31"/>
        <w:bidi w:val="0"/>
      </w:pPr>
      <w:bookmarkStart w:id="6" w:name="_Toc1151"/>
      <w:bookmarkStart w:id="7" w:name="heading_2"/>
      <w:r>
        <w:t>报告期间</w:t>
      </w:r>
      <w:bookmarkEnd w:id="6"/>
      <w:bookmarkEnd w:id="7"/>
    </w:p>
    <w:p w14:paraId="1330D2E0">
      <w:pPr>
        <w:pStyle w:val="30"/>
        <w:bidi w:val="0"/>
      </w:pPr>
      <w:r>
        <w:t>本报告覆盖的时间范围为2026年1月1日至2026年3月31日，共计90天。这是项目进入常态化运行后的第一个完整季度。</w:t>
      </w:r>
    </w:p>
    <w:p w14:paraId="7E2EA835">
      <w:pPr>
        <w:pStyle w:val="31"/>
        <w:bidi w:val="0"/>
      </w:pPr>
      <w:bookmarkStart w:id="8" w:name="_Toc19381"/>
      <w:bookmarkStart w:id="9" w:name="heading_3"/>
      <w:r>
        <w:t>总体评价</w:t>
      </w:r>
      <w:bookmarkEnd w:id="8"/>
      <w:bookmarkEnd w:id="9"/>
    </w:p>
    <w:p w14:paraId="742163B4">
      <w:pPr>
        <w:pStyle w:val="30"/>
        <w:bidi w:val="0"/>
      </w:pPr>
      <w:r>
        <w:t>本季度项目运行平稳，各项核心指标持续达标。</w:t>
      </w:r>
    </w:p>
    <w:p w14:paraId="24C3D63E">
      <w:pPr>
        <w:pStyle w:val="30"/>
        <w:bidi w:val="0"/>
      </w:pPr>
      <w:r>
        <w:t>具体来看，系统可用性、服务响应效率、数据质量等关键绩效指标均优于合同约定标准。春节假期期间，项目组提前制定了专项保障方案，服务保障得力，未发生重大故障或客户投诉事件。整体而言，项目已进入稳定运行的良性轨道。</w:t>
      </w:r>
    </w:p>
    <w:p w14:paraId="211C5FE3">
      <w:pPr>
        <w:spacing w:before="120" w:after="120" w:line="288" w:lineRule="auto"/>
        <w:ind w:left="0"/>
        <w:jc w:val="left"/>
      </w:pPr>
    </w:p>
    <w:p w14:paraId="46516D64">
      <w:pPr>
        <w:pStyle w:val="29"/>
        <w:bidi w:val="0"/>
      </w:pPr>
      <w:bookmarkStart w:id="10" w:name="_Toc28693"/>
      <w:bookmarkStart w:id="11" w:name="heading_4"/>
      <w:r>
        <w:t>服务运行情况</w:t>
      </w:r>
      <w:bookmarkEnd w:id="10"/>
      <w:bookmarkEnd w:id="11"/>
    </w:p>
    <w:p w14:paraId="3D3CE16D">
      <w:pPr>
        <w:pStyle w:val="31"/>
        <w:bidi w:val="0"/>
      </w:pPr>
      <w:bookmarkStart w:id="12" w:name="heading_5"/>
      <w:bookmarkStart w:id="13" w:name="_Toc33"/>
      <w:r>
        <w:t>日常服务响应</w:t>
      </w:r>
      <w:bookmarkEnd w:id="12"/>
      <w:bookmarkEnd w:id="13"/>
    </w:p>
    <w:p w14:paraId="7536814A">
      <w:pPr>
        <w:pStyle w:val="30"/>
        <w:bidi w:val="0"/>
      </w:pPr>
      <w:r>
        <w:t>本季度，项目组持续为天津港引航中心提供7×10小时人工服务支持，覆盖引航计划管理、船舶动态监控、引航员排班调度、设备运行维护、费用结算等核心业务场景。</w:t>
      </w:r>
    </w:p>
    <w:p w14:paraId="1B42C2C0">
      <w:pPr>
        <w:pStyle w:val="30"/>
        <w:bidi w:val="0"/>
      </w:pPr>
      <w:r>
        <w:t>累计处理情况：本季度共接收</w:t>
      </w:r>
      <w:r>
        <w:rPr>
          <w:rFonts w:hint="eastAsia"/>
          <w:lang w:val="en-US"/>
        </w:rPr>
        <w:t>工单</w:t>
      </w:r>
      <w:r>
        <w:t>涵盖系统故障报修、业务操作咨询、配置变更申请等多种类型。所有工单均按规定流程完成记录、分派、处理和回访，工单关闭率达到100%，无超期未处理或积压情况。</w:t>
      </w:r>
    </w:p>
    <w:p w14:paraId="7F715F5C">
      <w:pPr>
        <w:pStyle w:val="30"/>
        <w:bidi w:val="0"/>
      </w:pPr>
      <w:r>
        <w:t>响应效率：从响应时效看，本季度平均响应时间为12分钟，平均解决时间为2.1小时，两项指标均显著优于合同约定的SLA标准（响应时间≤30分钟，解决时间≤4小时）。这反映出项目组在问题发现、诊断和处置环节的流程较为顺畅，技术能力能够有效支撑业务需求。</w:t>
      </w:r>
    </w:p>
    <w:p w14:paraId="71B5B1E8">
      <w:pPr>
        <w:pStyle w:val="31"/>
        <w:bidi w:val="0"/>
      </w:pPr>
      <w:bookmarkStart w:id="14" w:name="_Toc22246"/>
      <w:bookmarkStart w:id="15" w:name="heading_6"/>
      <w:r>
        <w:t>春节假期专项保障</w:t>
      </w:r>
      <w:bookmarkEnd w:id="14"/>
      <w:bookmarkEnd w:id="15"/>
    </w:p>
    <w:p w14:paraId="21252B2A">
      <w:pPr>
        <w:pStyle w:val="30"/>
        <w:bidi w:val="0"/>
      </w:pPr>
      <w:r>
        <w:t>2026年春节假期（2月10日至2月17日）期间，项目组提前制定了专项值班保障方案。</w:t>
      </w:r>
    </w:p>
    <w:p w14:paraId="4F2C9C56">
      <w:pPr>
        <w:pStyle w:val="30"/>
        <w:bidi w:val="0"/>
      </w:pPr>
      <w:r>
        <w:t>保障措施：方案明确了假期期间的人员轮值安排，建立了A/B角互补机制，确保任何时候均有具备问题处理能力的技术人员在线待命。同时，项目组与客户方指定了应急联络人，建立了快速升级通道。</w:t>
      </w:r>
    </w:p>
    <w:p w14:paraId="3935B3ED">
      <w:pPr>
        <w:pStyle w:val="30"/>
        <w:bidi w:val="0"/>
      </w:pPr>
      <w:r>
        <w:t>保障效果：假期期间，引航信息系统运行稳定，系统可用性保持100%。共收到客户咨询类工单3个，均在15分钟内响应、1小时内解决。未发生重大故障、数据异常或客户投诉事件，客户对假期保障工作表示满意。</w:t>
      </w:r>
    </w:p>
    <w:p w14:paraId="115D12B6">
      <w:pPr>
        <w:pStyle w:val="31"/>
        <w:bidi w:val="0"/>
      </w:pPr>
      <w:bookmarkStart w:id="16" w:name="_Toc649"/>
      <w:bookmarkStart w:id="17" w:name="heading_7"/>
      <w:r>
        <w:t>月度系统体检</w:t>
      </w:r>
      <w:bookmarkEnd w:id="16"/>
      <w:bookmarkEnd w:id="17"/>
    </w:p>
    <w:p w14:paraId="53E68D48">
      <w:pPr>
        <w:pStyle w:val="30"/>
        <w:bidi w:val="0"/>
      </w:pPr>
      <w:r>
        <w:t>本季度，项目组按计划完成了1月、2月、3月的月度系统体检工作。</w:t>
      </w:r>
    </w:p>
    <w:p w14:paraId="3E85E062">
      <w:pPr>
        <w:pStyle w:val="30"/>
        <w:bidi w:val="0"/>
      </w:pPr>
      <w:r>
        <w:t>每次体检均覆盖服务器运行状态、数据库健康度、应用系统功能可用性、外部接口连通性等关键维度。体检结果显示，系统整体运行健康，服务器CPU、内存、磁盘等资源使用率处于合理区间，数据库连接正常，核心业务模块功能可用。体检报告均按时提交至客户方，并对发现的潜在风险提出了优化建议。</w:t>
      </w:r>
    </w:p>
    <w:p w14:paraId="14E68BDA">
      <w:pPr>
        <w:pStyle w:val="29"/>
        <w:bidi w:val="0"/>
      </w:pPr>
      <w:bookmarkStart w:id="18" w:name="_Toc25013"/>
      <w:bookmarkStart w:id="19" w:name="heading_8"/>
      <w:r>
        <w:t>数据质量保障情况</w:t>
      </w:r>
      <w:bookmarkEnd w:id="18"/>
      <w:bookmarkEnd w:id="19"/>
    </w:p>
    <w:p w14:paraId="4033A9D6">
      <w:pPr>
        <w:pStyle w:val="31"/>
        <w:bidi w:val="0"/>
      </w:pPr>
      <w:bookmarkStart w:id="20" w:name="heading_9"/>
      <w:bookmarkStart w:id="21" w:name="_Toc2084"/>
      <w:r>
        <w:t>日常监控与日报机制</w:t>
      </w:r>
      <w:bookmarkEnd w:id="20"/>
      <w:bookmarkEnd w:id="21"/>
    </w:p>
    <w:p w14:paraId="4C3699ED">
      <w:pPr>
        <w:pStyle w:val="30"/>
        <w:bidi w:val="0"/>
      </w:pPr>
      <w:r>
        <w:t>数据质量是保障引航作业决策准确性的基础。本季度，项目组持续运行数据质量日常监控机制，覆盖引航计划、船舶动态、引航员排班、设备运维、费用结算等七大数据域。</w:t>
      </w:r>
    </w:p>
    <w:p w14:paraId="26431D43">
      <w:pPr>
        <w:pStyle w:val="30"/>
        <w:bidi w:val="0"/>
      </w:pPr>
      <w:r>
        <w:t>每日凌晨，数据清洗任务自动执行，对前一日产生的业务数据进行校验、清洗和标准化处理。任务执行完毕后，系统自动生成数据质量日报，通过邮件推送至项目组相关人员和客户方指定接口人。日报内容涵盖当日数据填充率、准确率、异常记录数量及类型分布等关键信息。</w:t>
      </w:r>
    </w:p>
    <w:p w14:paraId="19649A6D">
      <w:pPr>
        <w:pStyle w:val="30"/>
        <w:bidi w:val="0"/>
      </w:pPr>
      <w:r>
        <w:t>本季度，数据清洗任务累计执行90次，全部成功完成，任务成功率达到100%。数据血缘日志记录完整，所有数据变更均可追溯。</w:t>
      </w:r>
    </w:p>
    <w:p w14:paraId="26863AF7">
      <w:pPr>
        <w:pStyle w:val="31"/>
        <w:bidi w:val="0"/>
      </w:pPr>
      <w:bookmarkStart w:id="22" w:name="heading_10"/>
      <w:bookmarkStart w:id="23" w:name="_Toc19059"/>
      <w:r>
        <w:t>核心指标达成情况</w:t>
      </w:r>
      <w:bookmarkEnd w:id="22"/>
      <w:bookmarkEnd w:id="23"/>
    </w:p>
    <w:p w14:paraId="0BCE4FF9">
      <w:pPr>
        <w:pStyle w:val="30"/>
        <w:bidi w:val="0"/>
      </w:pPr>
      <w:r>
        <w:t>从本季度的数据表现来看，各项核心数据质量指标持续达标，部分指标呈逐月上升趋势。</w:t>
      </w:r>
    </w:p>
    <w:p w14:paraId="62A888D0">
      <w:pPr>
        <w:pStyle w:val="30"/>
        <w:bidi w:val="0"/>
      </w:pPr>
      <w:r>
        <w:t>主数据一致率方面：船舶主数据、引航员主数据、设备资产主数据的一致率在本季度始终保持100%，为跨模块数据关联分析提供了可靠基础。</w:t>
      </w:r>
    </w:p>
    <w:p w14:paraId="32595B4E">
      <w:pPr>
        <w:pStyle w:val="31"/>
        <w:bidi w:val="0"/>
      </w:pPr>
      <w:bookmarkStart w:id="24" w:name="_Toc7778"/>
      <w:bookmarkStart w:id="25" w:name="heading_11"/>
      <w:r>
        <w:t>清洗规则优化迭代</w:t>
      </w:r>
      <w:bookmarkEnd w:id="24"/>
      <w:bookmarkEnd w:id="25"/>
    </w:p>
    <w:p w14:paraId="488092DF">
      <w:pPr>
        <w:pStyle w:val="30"/>
        <w:bidi w:val="0"/>
      </w:pPr>
      <w:r>
        <w:t>本季度，项目组根据实际运行情况和客户业务需求变化，对数据清洗规则进行了5次优化调整。</w:t>
      </w:r>
    </w:p>
    <w:p w14:paraId="5E081FA2">
      <w:pPr>
        <w:pStyle w:val="30"/>
        <w:bidi w:val="0"/>
      </w:pPr>
      <w:r>
        <w:t>优化内容主要包括：进一步完善引航计划与船舶AIS轨迹的关联校验逻辑，减少误报；针对春节假期特殊排班需求，临时调整了排班冲突检测规则的参数阈值；补充了计费吨位异常的边缘场景检测规则。所有规则变更均经过测试环境验证、客户业务负责人确认后方上线，确保了规则调整的准确性和安全性。</w:t>
      </w:r>
    </w:p>
    <w:p w14:paraId="4E863452">
      <w:pPr>
        <w:spacing w:before="120" w:after="120" w:line="288" w:lineRule="auto"/>
        <w:ind w:left="0"/>
        <w:jc w:val="left"/>
      </w:pPr>
    </w:p>
    <w:p w14:paraId="04FE30AE">
      <w:pPr>
        <w:pStyle w:val="29"/>
        <w:bidi w:val="0"/>
      </w:pPr>
      <w:bookmarkStart w:id="26" w:name="_Toc24298"/>
      <w:bookmarkStart w:id="27" w:name="heading_12"/>
      <w:r>
        <w:t>系统优化与知识积累</w:t>
      </w:r>
      <w:bookmarkEnd w:id="26"/>
      <w:bookmarkEnd w:id="27"/>
    </w:p>
    <w:p w14:paraId="62A84B72">
      <w:pPr>
        <w:pStyle w:val="31"/>
        <w:bidi w:val="0"/>
      </w:pPr>
      <w:bookmarkStart w:id="28" w:name="heading_13"/>
      <w:bookmarkStart w:id="29" w:name="_Toc390"/>
      <w:r>
        <w:t>性能优化</w:t>
      </w:r>
      <w:bookmarkEnd w:id="28"/>
      <w:bookmarkEnd w:id="29"/>
    </w:p>
    <w:p w14:paraId="6B5A5A0C">
      <w:pPr>
        <w:pStyle w:val="30"/>
        <w:bidi w:val="0"/>
      </w:pPr>
      <w:r>
        <w:t>本季度，项目组持续开展系统性能优化工作，重点关注数据库查询效率的提升。</w:t>
      </w:r>
    </w:p>
    <w:p w14:paraId="2CCA9A0F">
      <w:pPr>
        <w:pStyle w:val="30"/>
        <w:bidi w:val="0"/>
      </w:pPr>
      <w:r>
        <w:t>通过对慢查询日志的定期分析，项目组识别并优化了3条执行效率较低的查询语句，主要涉及船舶动态历史轨迹查询和引航费收统计报表两个场景。优化措施包括添加必要索引、调整查询条件顺序、重构部分SQL逻辑。优化后，相关查询的平均响应时间从优化前的3-5秒降低至1秒以内，用户操作体验得到改善。</w:t>
      </w:r>
    </w:p>
    <w:p w14:paraId="26E88AB8">
      <w:pPr>
        <w:pStyle w:val="30"/>
        <w:bidi w:val="0"/>
      </w:pPr>
      <w:r>
        <w:t>目前，引航信息系统核心页面的平均响应时间保持在1.0秒左右，满足业务使用需求。</w:t>
      </w:r>
    </w:p>
    <w:p w14:paraId="59E3825D">
      <w:pPr>
        <w:pStyle w:val="31"/>
        <w:bidi w:val="0"/>
      </w:pPr>
      <w:bookmarkStart w:id="30" w:name="_Toc24970"/>
      <w:bookmarkStart w:id="31" w:name="heading_15"/>
      <w:r>
        <w:t>客户培训</w:t>
      </w:r>
      <w:bookmarkEnd w:id="30"/>
      <w:bookmarkEnd w:id="31"/>
    </w:p>
    <w:p w14:paraId="382A503A">
      <w:pPr>
        <w:pStyle w:val="30"/>
        <w:bidi w:val="0"/>
      </w:pPr>
      <w:r>
        <w:t>本季度，项目组根据客户需求，组织了一次面向引航调度科关键用户的系统操作培训。培训内容涵盖引航计划录入规范、船舶动态查询技巧、异常情况处理流程等。培训采用现场演示与实操练习相结合的方式，参训人员均完成了实操考核。培训结束后，项目组将培训材料整理归档，提供给客户方作为后续参考。</w:t>
      </w:r>
    </w:p>
    <w:p w14:paraId="0B0F1779">
      <w:pPr>
        <w:pStyle w:val="29"/>
        <w:bidi w:val="0"/>
      </w:pPr>
      <w:bookmarkStart w:id="32" w:name="heading_16"/>
      <w:bookmarkStart w:id="33" w:name="_Toc19620"/>
      <w:r>
        <w:t>问题与改进</w:t>
      </w:r>
      <w:bookmarkEnd w:id="32"/>
      <w:bookmarkEnd w:id="33"/>
    </w:p>
    <w:p w14:paraId="0A9E7511">
      <w:pPr>
        <w:pStyle w:val="31"/>
        <w:bidi w:val="0"/>
      </w:pPr>
      <w:bookmarkStart w:id="34" w:name="heading_17"/>
      <w:bookmarkStart w:id="35" w:name="_Toc470"/>
      <w:r>
        <w:t>本季度遇到的问题</w:t>
      </w:r>
      <w:bookmarkEnd w:id="34"/>
      <w:bookmarkEnd w:id="35"/>
    </w:p>
    <w:p w14:paraId="49757699">
      <w:pPr>
        <w:pStyle w:val="30"/>
        <w:bidi w:val="0"/>
      </w:pPr>
      <w:r>
        <w:t>本季度，项目组在服务过程中遇到了两类主要问题，均已妥善解决。</w:t>
      </w:r>
    </w:p>
    <w:p w14:paraId="15D41092">
      <w:pPr>
        <w:pStyle w:val="30"/>
        <w:bidi w:val="0"/>
      </w:pPr>
      <w:r>
        <w:t>第一类是AIS接口数据短暂延迟问题。该问题在1月份和2月份各出现一次，表现为AIS数据接收出现分钟级的延迟，影响船舶动态的实时监控。经排查，问题原因分别为接口服务器网络波动和数据积压。项目组采取了优化接口重连机制、增加数据缓存队列等措施，有效降低了类似情况的发生概率。目前AIS数据接收及时率已提升至99.9%。</w:t>
      </w:r>
    </w:p>
    <w:p w14:paraId="691E55A3">
      <w:pPr>
        <w:pStyle w:val="30"/>
        <w:bidi w:val="0"/>
      </w:pPr>
      <w:r>
        <w:t>第二类是春节假期排班规则的临时调整需求。假期期间，引航调度科对排班规则有特殊要求（如部分引航员仅参与日间作业），与日常规则存在差异。项目组与客户沟通确认临时规则后，快速完成了清洗规则配置的调整，确保了假期排班合规率保持100%。</w:t>
      </w:r>
    </w:p>
    <w:p w14:paraId="303A9409">
      <w:pPr>
        <w:pStyle w:val="31"/>
        <w:bidi w:val="0"/>
      </w:pPr>
      <w:bookmarkStart w:id="36" w:name="heading_18"/>
      <w:bookmarkStart w:id="37" w:name="_Toc30448"/>
      <w:r>
        <w:t>存在的不足</w:t>
      </w:r>
      <w:bookmarkEnd w:id="36"/>
      <w:bookmarkEnd w:id="37"/>
    </w:p>
    <w:p w14:paraId="31420B41">
      <w:pPr>
        <w:pStyle w:val="30"/>
        <w:bidi w:val="0"/>
      </w:pPr>
      <w:r>
        <w:t>尽管本季度整体运行良好，但仍存在以下可改进之处：</w:t>
      </w:r>
    </w:p>
    <w:p w14:paraId="6E9AC8D2">
      <w:pPr>
        <w:pStyle w:val="30"/>
        <w:bidi w:val="0"/>
      </w:pPr>
      <w:r>
        <w:rPr>
          <w:rFonts w:hint="eastAsia"/>
          <w:lang w:val="en-US" w:eastAsia="zh-CN"/>
        </w:rPr>
        <w:t>服务知识</w:t>
      </w:r>
      <w:r>
        <w:t>更新时效性有待提升。部分典型问题的解决方案录入知识库存在滞后现象，有时问题已关闭数日后才完成入库。项目组已在本季度后期优化了流程，要求问题关闭后24小时内完成知识入库，后续需持续落实。</w:t>
      </w:r>
    </w:p>
    <w:p w14:paraId="0D52FD49">
      <w:pPr>
        <w:pStyle w:val="30"/>
        <w:bidi w:val="0"/>
      </w:pPr>
      <w:r>
        <w:t>数据质量日报的异常分析深度不足。当前日报主要呈现指标数值和异常记录数量，但对异常原因的分类分析和趋势研判较为薄弱。后续将在日报中增加分析维度，提升报告的可读性和指导价值。</w:t>
      </w:r>
    </w:p>
    <w:p w14:paraId="0597DBC4">
      <w:pPr>
        <w:pStyle w:val="31"/>
        <w:bidi w:val="0"/>
      </w:pPr>
      <w:bookmarkStart w:id="38" w:name="heading_19"/>
      <w:bookmarkStart w:id="39" w:name="_Toc12549"/>
      <w:r>
        <w:t>经验总结</w:t>
      </w:r>
      <w:bookmarkEnd w:id="38"/>
      <w:bookmarkEnd w:id="39"/>
    </w:p>
    <w:p w14:paraId="1B0BAA77">
      <w:pPr>
        <w:pStyle w:val="30"/>
        <w:bidi w:val="0"/>
      </w:pPr>
      <w:r>
        <w:t>回顾本季度的工作，项目组总结了以下几点经验：</w:t>
      </w:r>
    </w:p>
    <w:p w14:paraId="5E3EEAE9">
      <w:pPr>
        <w:pStyle w:val="30"/>
        <w:numPr>
          <w:ilvl w:val="0"/>
          <w:numId w:val="2"/>
        </w:numPr>
        <w:bidi w:val="0"/>
        <w:ind w:left="425" w:leftChars="0" w:hanging="425" w:firstLineChars="0"/>
      </w:pPr>
      <w:r>
        <w:t>节假日保障需提前规划。春节假期的平稳运行得益于提前一周制定的值班方案和资源准备。后续长假（如五一、国庆）应延续这一做法，确保服务连续性。</w:t>
      </w:r>
    </w:p>
    <w:p w14:paraId="1F80AA78">
      <w:pPr>
        <w:pStyle w:val="30"/>
        <w:numPr>
          <w:ilvl w:val="0"/>
          <w:numId w:val="2"/>
        </w:numPr>
        <w:bidi w:val="0"/>
        <w:ind w:left="425" w:leftChars="0" w:hanging="425" w:firstLineChars="0"/>
      </w:pPr>
      <w:r>
        <w:t>清洗规则需保持灵活性。业务规则存在临时调整需求，规则配置应支持快速变更。当前采用的配置文件化管理方式效果良好，后续将继续优化规则变更流程。</w:t>
      </w:r>
    </w:p>
    <w:p w14:paraId="111AF83D">
      <w:pPr>
        <w:pStyle w:val="30"/>
        <w:numPr>
          <w:ilvl w:val="0"/>
          <w:numId w:val="2"/>
        </w:numPr>
        <w:bidi w:val="0"/>
        <w:ind w:left="425" w:leftChars="0" w:hanging="425" w:firstLineChars="0"/>
      </w:pPr>
      <w:r>
        <w:t>监控预警体系成效显著。AIS接口延迟等问题均通过监控平台及时发现并处置，未对业务造成实际影响。监控平台的告警阈值和覆盖范围仍需根据运行情况持续优化。</w:t>
      </w:r>
    </w:p>
    <w:p w14:paraId="7FFF92A8">
      <w:pPr>
        <w:pStyle w:val="30"/>
        <w:numPr>
          <w:ilvl w:val="0"/>
          <w:numId w:val="2"/>
        </w:numPr>
        <w:bidi w:val="0"/>
        <w:ind w:left="425" w:leftChars="0" w:hanging="425" w:firstLineChars="0"/>
      </w:pPr>
      <w:r>
        <w:t>与客户业务部门保持紧密沟通是关键。排班规则调整等需求能够快速响应，得益于项目组与引航调度科建立的日常沟通机制。后续应继续保持周例会、月报告等沟通渠道的畅通。</w:t>
      </w:r>
    </w:p>
    <w:p w14:paraId="71747A02">
      <w:pPr>
        <w:pStyle w:val="29"/>
        <w:bidi w:val="0"/>
      </w:pPr>
      <w:bookmarkStart w:id="40" w:name="heading_20"/>
      <w:bookmarkStart w:id="41" w:name="_Toc28749"/>
      <w:r>
        <w:t>下一季度工作计划</w:t>
      </w:r>
      <w:bookmarkEnd w:id="40"/>
      <w:bookmarkEnd w:id="41"/>
    </w:p>
    <w:p w14:paraId="6E8193B2">
      <w:pPr>
        <w:pStyle w:val="30"/>
        <w:bidi w:val="0"/>
      </w:pPr>
      <w:r>
        <w:t>2026年第二季度（4月至6月），项目组将继续按照《总体交付方案》的要求，推进常态化运行与监控工作。具体安排如下：</w:t>
      </w:r>
    </w:p>
    <w:p w14:paraId="7A6E4051">
      <w:pPr>
        <w:pStyle w:val="30"/>
        <w:numPr>
          <w:ilvl w:val="0"/>
          <w:numId w:val="3"/>
        </w:numPr>
        <w:bidi w:val="0"/>
        <w:ind w:left="425" w:leftChars="0" w:hanging="425" w:firstLineChars="0"/>
      </w:pPr>
      <w:r>
        <w:t>数据质量保障方面：继续每日监控数据质量KPI，及时处置异常情况；根据业务运行情况持续优化清洗规则；按时提交月度数据质量分析报告。</w:t>
      </w:r>
    </w:p>
    <w:p w14:paraId="13B218C6">
      <w:pPr>
        <w:pStyle w:val="30"/>
        <w:numPr>
          <w:ilvl w:val="0"/>
          <w:numId w:val="3"/>
        </w:numPr>
        <w:bidi w:val="0"/>
        <w:ind w:left="425" w:leftChars="0" w:hanging="425" w:firstLineChars="0"/>
      </w:pPr>
      <w:r>
        <w:t>系统巡检方面：按计划完成4月、5月、6月的月度系统体检，按时提交体检报告，跟踪系统健康趋势。</w:t>
      </w:r>
    </w:p>
    <w:p w14:paraId="758322D4">
      <w:pPr>
        <w:pStyle w:val="30"/>
        <w:numPr>
          <w:ilvl w:val="0"/>
          <w:numId w:val="3"/>
        </w:numPr>
        <w:bidi w:val="0"/>
        <w:ind w:left="425" w:leftChars="0" w:hanging="425" w:firstLineChars="0"/>
      </w:pPr>
      <w:r>
        <w:rPr>
          <w:rFonts w:hint="eastAsia"/>
          <w:lang w:val="en-US" w:eastAsia="zh-CN"/>
        </w:rPr>
        <w:t>服务知识</w:t>
      </w:r>
      <w:r>
        <w:t>建设方面：继续丰富知识库内容，计划下季度新增知识条目15条以上，累计达到50条；提升知识利用率至90%以上。</w:t>
      </w:r>
    </w:p>
    <w:p w14:paraId="11FD3DD8">
      <w:pPr>
        <w:pStyle w:val="30"/>
        <w:numPr>
          <w:ilvl w:val="0"/>
          <w:numId w:val="3"/>
        </w:numPr>
        <w:bidi w:val="0"/>
        <w:ind w:left="425" w:leftChars="0" w:hanging="425" w:firstLineChars="0"/>
      </w:pPr>
      <w:r>
        <w:t>半年度总结方面：6月底前完成半年度服务总结报告的编制工作，全面汇总上半年服务数据和质量指标。</w:t>
      </w:r>
    </w:p>
    <w:p w14:paraId="124BD86E">
      <w:pPr>
        <w:pStyle w:val="29"/>
        <w:bidi w:val="0"/>
      </w:pPr>
      <w:bookmarkStart w:id="42" w:name="_Toc31950"/>
      <w:bookmarkStart w:id="43" w:name="heading_21"/>
      <w:r>
        <w:t>结论</w:t>
      </w:r>
      <w:bookmarkEnd w:id="42"/>
      <w:bookmarkEnd w:id="43"/>
    </w:p>
    <w:p w14:paraId="4729A399">
      <w:pPr>
        <w:pStyle w:val="30"/>
        <w:bidi w:val="0"/>
      </w:pPr>
      <w:r>
        <w:t>2026年第一季度，天津港引航中心引航信息系统及设备维护项目运行平稳，各项工作按计划有序推进。</w:t>
      </w:r>
    </w:p>
    <w:p w14:paraId="73406DC6">
      <w:pPr>
        <w:pStyle w:val="30"/>
        <w:bidi w:val="0"/>
      </w:pPr>
      <w:r>
        <w:t>服务运行方面：本季度</w:t>
      </w:r>
      <w:r>
        <w:rPr>
          <w:rFonts w:hint="eastAsia"/>
          <w:lang w:val="en-US" w:eastAsia="zh-CN"/>
        </w:rPr>
        <w:t>处理工单全部关闭</w:t>
      </w:r>
      <w:r>
        <w:t>，平均响应时间12分钟，平均解决时间2.1小时，所有SLA指标均优于合同要求。春节假期期间服务保障得力，未发生重大故障或投诉事件。</w:t>
      </w:r>
    </w:p>
    <w:p w14:paraId="47EC5696">
      <w:pPr>
        <w:pStyle w:val="30"/>
        <w:bidi w:val="0"/>
      </w:pPr>
      <w:r>
        <w:t>数据质量方面：</w:t>
      </w:r>
      <w:r>
        <w:rPr>
          <w:rFonts w:hint="eastAsia"/>
          <w:lang w:val="en-US" w:eastAsia="zh-CN"/>
        </w:rPr>
        <w:t>完成</w:t>
      </w:r>
      <w:r>
        <w:t>核心字段填充，</w:t>
      </w:r>
      <w:r>
        <w:rPr>
          <w:rFonts w:hint="eastAsia"/>
          <w:lang w:val="en-US" w:eastAsia="zh-CN"/>
        </w:rPr>
        <w:t>保证业务数据准确</w:t>
      </w:r>
      <w:r>
        <w:t>，主数据</w:t>
      </w:r>
      <w:r>
        <w:rPr>
          <w:rFonts w:hint="eastAsia"/>
          <w:lang w:val="en-US" w:eastAsia="zh-CN"/>
        </w:rPr>
        <w:t>全部一致</w:t>
      </w:r>
      <w:r>
        <w:t>，清洗任务</w:t>
      </w:r>
      <w:r>
        <w:rPr>
          <w:rFonts w:hint="eastAsia"/>
          <w:lang w:val="en-US" w:eastAsia="zh-CN"/>
        </w:rPr>
        <w:t>全部成功</w:t>
      </w:r>
      <w:r>
        <w:t>，各项数据质量指标持续达标并呈稳步提升趋势。</w:t>
      </w:r>
    </w:p>
    <w:p w14:paraId="74D7277E">
      <w:pPr>
        <w:pStyle w:val="30"/>
        <w:bidi w:val="0"/>
      </w:pPr>
      <w:r>
        <w:t>系统优化方面：完成慢查询优化3条，系统响应保持1秒以内</w:t>
      </w:r>
      <w:r>
        <w:rPr>
          <w:rFonts w:hint="eastAsia"/>
          <w:lang w:eastAsia="zh-CN"/>
        </w:rPr>
        <w:t>，</w:t>
      </w:r>
      <w:r>
        <w:t>完成客户培训1场。</w:t>
      </w:r>
    </w:p>
    <w:p w14:paraId="6949CBA3">
      <w:pPr>
        <w:pStyle w:val="30"/>
        <w:bidi w:val="0"/>
      </w:pPr>
      <w:r>
        <w:t>问题处置方面：AIS接口延迟问题已解决，春节排班规则快速响应调整，无重大故障、无客户投诉、无升级问题。</w:t>
      </w:r>
    </w:p>
    <w:p w14:paraId="07A452AD">
      <w:pPr>
        <w:pStyle w:val="30"/>
        <w:bidi w:val="0"/>
      </w:pPr>
      <w:r>
        <w:t>综上所述，项目组认为当前项目运行状态良好，具备继续按计划推进下一阶段工作的条件。项目组将继续保持当前工作态势，确保服务质量和数据质量的持续提升。</w:t>
      </w:r>
    </w:p>
    <w:p w14:paraId="39DA8106">
      <w:pPr>
        <w:pStyle w:val="30"/>
        <w:widowControl w:val="0"/>
        <w:ind w:firstLine="480"/>
        <w:rPr>
          <w:rFonts w:hint="eastAsia" w:eastAsia="宋体"/>
          <w:lang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88C12">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E169E9B"/>
    <w:multiLevelType w:val="singleLevel"/>
    <w:tmpl w:val="CE169E9B"/>
    <w:lvl w:ilvl="0" w:tentative="0">
      <w:start w:val="1"/>
      <w:numFmt w:val="decimal"/>
      <w:lvlText w:val="%1."/>
      <w:lvlJc w:val="left"/>
      <w:pPr>
        <w:ind w:left="425" w:hanging="425"/>
      </w:pPr>
      <w:rPr>
        <w:rFonts w:hint="default"/>
      </w:rPr>
    </w:lvl>
  </w:abstractNum>
  <w:abstractNum w:abstractNumId="2">
    <w:nsid w:val="75C1C40F"/>
    <w:multiLevelType w:val="singleLevel"/>
    <w:tmpl w:val="75C1C40F"/>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404C1F"/>
    <w:rsid w:val="06F85F55"/>
    <w:rsid w:val="0B8E420A"/>
    <w:rsid w:val="0BBA4FFF"/>
    <w:rsid w:val="10741C20"/>
    <w:rsid w:val="136C7B89"/>
    <w:rsid w:val="16377978"/>
    <w:rsid w:val="16BF34C9"/>
    <w:rsid w:val="199E1ABC"/>
    <w:rsid w:val="1AEB6F35"/>
    <w:rsid w:val="1B48265C"/>
    <w:rsid w:val="1B495A57"/>
    <w:rsid w:val="1D6E79F7"/>
    <w:rsid w:val="1DE026A3"/>
    <w:rsid w:val="1DEF3B58"/>
    <w:rsid w:val="1E206F43"/>
    <w:rsid w:val="1E294DE4"/>
    <w:rsid w:val="1F112D96"/>
    <w:rsid w:val="1F221FBE"/>
    <w:rsid w:val="1FBE6A14"/>
    <w:rsid w:val="21DF2C54"/>
    <w:rsid w:val="21EE5169"/>
    <w:rsid w:val="22137F08"/>
    <w:rsid w:val="22D77793"/>
    <w:rsid w:val="2528055C"/>
    <w:rsid w:val="253B299A"/>
    <w:rsid w:val="26301CEE"/>
    <w:rsid w:val="2D1F486A"/>
    <w:rsid w:val="2DA01E4F"/>
    <w:rsid w:val="2E186047"/>
    <w:rsid w:val="2F094C2D"/>
    <w:rsid w:val="30453A83"/>
    <w:rsid w:val="359F6B2F"/>
    <w:rsid w:val="36E52680"/>
    <w:rsid w:val="377759CE"/>
    <w:rsid w:val="377F53A8"/>
    <w:rsid w:val="384D3947"/>
    <w:rsid w:val="39D72754"/>
    <w:rsid w:val="3A2810F4"/>
    <w:rsid w:val="3BBD3BCC"/>
    <w:rsid w:val="3BD86C58"/>
    <w:rsid w:val="3C6348C7"/>
    <w:rsid w:val="3CB45A9D"/>
    <w:rsid w:val="3CEC6058"/>
    <w:rsid w:val="3EBE3EE3"/>
    <w:rsid w:val="40864ED4"/>
    <w:rsid w:val="41494D09"/>
    <w:rsid w:val="442C1630"/>
    <w:rsid w:val="47FA5C10"/>
    <w:rsid w:val="4AF01FC8"/>
    <w:rsid w:val="4B1650A7"/>
    <w:rsid w:val="4BC32B39"/>
    <w:rsid w:val="4D341814"/>
    <w:rsid w:val="4D6B0C4B"/>
    <w:rsid w:val="54AB273B"/>
    <w:rsid w:val="56044479"/>
    <w:rsid w:val="58967F72"/>
    <w:rsid w:val="58BF0B2C"/>
    <w:rsid w:val="58FA08F3"/>
    <w:rsid w:val="593F3A1A"/>
    <w:rsid w:val="5B537FD8"/>
    <w:rsid w:val="5C2E2250"/>
    <w:rsid w:val="5CC47CC0"/>
    <w:rsid w:val="6013494B"/>
    <w:rsid w:val="60AE3960"/>
    <w:rsid w:val="60FA0D27"/>
    <w:rsid w:val="647A3F6A"/>
    <w:rsid w:val="67C52405"/>
    <w:rsid w:val="6C07486C"/>
    <w:rsid w:val="6CF43042"/>
    <w:rsid w:val="6F2F54CD"/>
    <w:rsid w:val="6F3B2A5E"/>
    <w:rsid w:val="71F66F14"/>
    <w:rsid w:val="733C4DFB"/>
    <w:rsid w:val="758E3908"/>
    <w:rsid w:val="772C33D8"/>
    <w:rsid w:val="77B75398"/>
    <w:rsid w:val="78236589"/>
    <w:rsid w:val="7993773F"/>
    <w:rsid w:val="7A525BCB"/>
    <w:rsid w:val="7A7B5A6F"/>
    <w:rsid w:val="7C573B71"/>
    <w:rsid w:val="7FD83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3658</Words>
  <Characters>3857</Characters>
  <Lines>128</Lines>
  <Paragraphs>117</Paragraphs>
  <TotalTime>0</TotalTime>
  <ScaleCrop>false</ScaleCrop>
  <LinksUpToDate>false</LinksUpToDate>
  <CharactersWithSpaces>3948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2026-06-03T13:56:23Z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