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D8221">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文件编号：ITSS-01-01</w:t>
      </w:r>
    </w:p>
    <w:p w14:paraId="14780C49">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5C0DD24">
      <w:pPr>
        <w:pStyle w:val="25"/>
        <w:keepNext w:val="0"/>
        <w:keepLines w:val="0"/>
        <w:pageBreakBefore w:val="0"/>
        <w:widowControl w:val="0"/>
        <w:wordWrap/>
        <w:overflowPunct/>
        <w:topLinePunct w:val="0"/>
        <w:bidi w:val="0"/>
      </w:pPr>
      <w:bookmarkStart w:id="0" w:name="_Toc10904"/>
      <w:bookmarkStart w:id="1" w:name="_Toc16212"/>
      <w:r>
        <w:rPr>
          <w:rFonts w:hint="eastAsia"/>
          <w:lang w:val="en-US" w:eastAsia="zh-CN"/>
        </w:rPr>
        <w:t>天津通海信息技术有限公司</w:t>
      </w:r>
      <w:bookmarkEnd w:id="0"/>
      <w:bookmarkEnd w:id="1"/>
    </w:p>
    <w:p w14:paraId="33F3F232">
      <w:pPr>
        <w:pStyle w:val="26"/>
        <w:keepNext w:val="0"/>
        <w:keepLines w:val="0"/>
        <w:pageBreakBefore w:val="0"/>
        <w:widowControl w:val="0"/>
        <w:wordWrap/>
        <w:overflowPunct/>
        <w:topLinePunct w:val="0"/>
        <w:bidi w:val="0"/>
        <w:rPr>
          <w:rFonts w:hint="eastAsia" w:eastAsia="黑体"/>
          <w:lang w:val="en-US" w:eastAsia="zh-CN"/>
        </w:rPr>
      </w:pPr>
      <w:bookmarkStart w:id="2" w:name="_Toc638"/>
      <w:r>
        <w:t>运维服务目录管理</w:t>
      </w:r>
      <w:r>
        <w:rPr>
          <w:rFonts w:hint="eastAsia"/>
          <w:lang w:val="en-US" w:eastAsia="zh-CN"/>
        </w:rPr>
        <w:t>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E1BF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AB26214">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72BFA268">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12CF9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B8412BB">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常海霞</w:t>
            </w:r>
          </w:p>
        </w:tc>
        <w:tc>
          <w:tcPr>
            <w:tcW w:w="4261" w:type="dxa"/>
            <w:shd w:val="clear" w:color="auto" w:fill="auto"/>
          </w:tcPr>
          <w:p w14:paraId="5D2C7794">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1155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C290C13">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516BC192">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7F36021">
      <w:pPr>
        <w:keepNext w:val="0"/>
        <w:keepLines w:val="0"/>
        <w:pageBreakBefore w:val="0"/>
        <w:widowControl w:val="0"/>
        <w:wordWrap/>
        <w:overflowPunct/>
        <w:topLinePunct w:val="0"/>
        <w:bidi w:val="0"/>
      </w:pPr>
      <w:r>
        <w:br w:type="page"/>
      </w:r>
    </w:p>
    <w:p w14:paraId="09AB8403">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4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238"/>
        <w:gridCol w:w="1245"/>
        <w:gridCol w:w="1245"/>
      </w:tblGrid>
      <w:tr w14:paraId="3F2EC9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90FFBB3">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4376DDD">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E7F63EC">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238" w:type="dxa"/>
          </w:tcPr>
          <w:p w14:paraId="053E944F">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245" w:type="dxa"/>
          </w:tcPr>
          <w:p w14:paraId="349D6603">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5" w:type="dxa"/>
          </w:tcPr>
          <w:p w14:paraId="3F730E5E">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086D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412FC2">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2A4A813B">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97C5756">
            <w:pPr>
              <w:keepNext w:val="0"/>
              <w:keepLines w:val="0"/>
              <w:pageBreakBefore w:val="0"/>
              <w:widowControl w:val="0"/>
              <w:wordWrap/>
              <w:overflowPunct/>
              <w:topLinePunct w:val="0"/>
              <w:bidi w:val="0"/>
              <w:spacing w:before="172" w:line="228" w:lineRule="auto"/>
              <w:ind w:left="114"/>
              <w:rPr>
                <w:rFonts w:ascii="宋体" w:hAnsi="宋体" w:eastAsia="宋体" w:cs="宋体"/>
                <w:sz w:val="20"/>
                <w:szCs w:val="20"/>
              </w:rPr>
            </w:pPr>
            <w:r>
              <w:rPr>
                <w:rFonts w:ascii="宋体" w:hAnsi="宋体" w:eastAsia="宋体" w:cs="宋体"/>
                <w:spacing w:val="7"/>
                <w:sz w:val="20"/>
                <w:szCs w:val="20"/>
              </w:rPr>
              <w:t>新建文档</w:t>
            </w:r>
          </w:p>
        </w:tc>
        <w:tc>
          <w:tcPr>
            <w:tcW w:w="1238" w:type="dxa"/>
          </w:tcPr>
          <w:p w14:paraId="415CD4F7">
            <w:pPr>
              <w:keepNext w:val="0"/>
              <w:keepLines w:val="0"/>
              <w:pageBreakBefore w:val="0"/>
              <w:widowControl w:val="0"/>
              <w:wordWrap/>
              <w:overflowPunct/>
              <w:topLinePunct w:val="0"/>
              <w:bidi w:val="0"/>
              <w:spacing w:before="172" w:line="228" w:lineRule="auto"/>
              <w:ind w:left="313"/>
              <w:rPr>
                <w:rFonts w:hint="eastAsia" w:ascii="宋体" w:hAnsi="宋体" w:eastAsia="宋体" w:cs="宋体"/>
                <w:sz w:val="20"/>
                <w:szCs w:val="20"/>
                <w:lang w:eastAsia="zh-CN"/>
              </w:rPr>
            </w:pPr>
            <w:r>
              <w:rPr>
                <w:rFonts w:hint="eastAsia" w:ascii="宋体" w:hAnsi="宋体" w:cs="宋体"/>
                <w:spacing w:val="5"/>
                <w:sz w:val="20"/>
                <w:szCs w:val="20"/>
                <w:lang w:eastAsia="zh-CN"/>
              </w:rPr>
              <w:t>耿宁</w:t>
            </w:r>
          </w:p>
        </w:tc>
        <w:tc>
          <w:tcPr>
            <w:tcW w:w="1245" w:type="dxa"/>
          </w:tcPr>
          <w:p w14:paraId="6D90DE6A">
            <w:pPr>
              <w:keepNext w:val="0"/>
              <w:keepLines w:val="0"/>
              <w:pageBreakBefore w:val="0"/>
              <w:widowControl w:val="0"/>
              <w:wordWrap/>
              <w:overflowPunct/>
              <w:topLinePunct w:val="0"/>
              <w:bidi w:val="0"/>
              <w:spacing w:before="173" w:line="229" w:lineRule="auto"/>
              <w:ind w:left="314"/>
              <w:rPr>
                <w:rFonts w:hint="eastAsia" w:ascii="宋体" w:hAnsi="宋体" w:eastAsia="宋体" w:cs="宋体"/>
                <w:spacing w:val="5"/>
                <w:sz w:val="20"/>
                <w:szCs w:val="20"/>
              </w:rPr>
            </w:pPr>
            <w:r>
              <w:rPr>
                <w:rFonts w:hint="eastAsia" w:ascii="宋体" w:hAnsi="宋体" w:eastAsia="宋体" w:cs="宋体"/>
                <w:spacing w:val="6"/>
                <w:sz w:val="20"/>
                <w:szCs w:val="20"/>
                <w:lang w:val="en-US" w:eastAsia="zh-CN"/>
              </w:rPr>
              <w:t>常海霞</w:t>
            </w:r>
          </w:p>
        </w:tc>
        <w:tc>
          <w:tcPr>
            <w:tcW w:w="1245" w:type="dxa"/>
          </w:tcPr>
          <w:p w14:paraId="43558490">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5B9CD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6E41411">
            <w:pPr>
              <w:pStyle w:val="28"/>
              <w:keepNext w:val="0"/>
              <w:keepLines w:val="0"/>
              <w:pageBreakBefore w:val="0"/>
              <w:widowControl w:val="0"/>
              <w:wordWrap/>
              <w:overflowPunct/>
              <w:topLinePunct w:val="0"/>
              <w:bidi w:val="0"/>
            </w:pPr>
          </w:p>
        </w:tc>
        <w:tc>
          <w:tcPr>
            <w:tcW w:w="919" w:type="dxa"/>
          </w:tcPr>
          <w:p w14:paraId="789EAEE8">
            <w:pPr>
              <w:pStyle w:val="28"/>
              <w:keepNext w:val="0"/>
              <w:keepLines w:val="0"/>
              <w:pageBreakBefore w:val="0"/>
              <w:widowControl w:val="0"/>
              <w:wordWrap/>
              <w:overflowPunct/>
              <w:topLinePunct w:val="0"/>
              <w:bidi w:val="0"/>
            </w:pPr>
          </w:p>
        </w:tc>
        <w:tc>
          <w:tcPr>
            <w:tcW w:w="2289" w:type="dxa"/>
          </w:tcPr>
          <w:p w14:paraId="6CA44FF7">
            <w:pPr>
              <w:pStyle w:val="28"/>
              <w:keepNext w:val="0"/>
              <w:keepLines w:val="0"/>
              <w:pageBreakBefore w:val="0"/>
              <w:widowControl w:val="0"/>
              <w:wordWrap/>
              <w:overflowPunct/>
              <w:topLinePunct w:val="0"/>
              <w:bidi w:val="0"/>
            </w:pPr>
          </w:p>
        </w:tc>
        <w:tc>
          <w:tcPr>
            <w:tcW w:w="1238" w:type="dxa"/>
          </w:tcPr>
          <w:p w14:paraId="6762ED4E">
            <w:pPr>
              <w:keepNext w:val="0"/>
              <w:keepLines w:val="0"/>
              <w:pageBreakBefore w:val="0"/>
              <w:widowControl w:val="0"/>
              <w:wordWrap/>
              <w:overflowPunct/>
              <w:topLinePunct w:val="0"/>
              <w:bidi w:val="0"/>
              <w:spacing w:before="172" w:line="228" w:lineRule="auto"/>
              <w:ind w:left="313"/>
            </w:pPr>
          </w:p>
        </w:tc>
        <w:tc>
          <w:tcPr>
            <w:tcW w:w="1245" w:type="dxa"/>
          </w:tcPr>
          <w:p w14:paraId="47411F54">
            <w:pPr>
              <w:keepNext w:val="0"/>
              <w:keepLines w:val="0"/>
              <w:pageBreakBefore w:val="0"/>
              <w:widowControl w:val="0"/>
              <w:wordWrap/>
              <w:overflowPunct/>
              <w:topLinePunct w:val="0"/>
              <w:bidi w:val="0"/>
              <w:spacing w:before="172" w:line="228" w:lineRule="auto"/>
              <w:ind w:left="313"/>
            </w:pPr>
          </w:p>
        </w:tc>
        <w:tc>
          <w:tcPr>
            <w:tcW w:w="1245" w:type="dxa"/>
          </w:tcPr>
          <w:p w14:paraId="659CB356">
            <w:pPr>
              <w:pStyle w:val="28"/>
              <w:keepNext w:val="0"/>
              <w:keepLines w:val="0"/>
              <w:pageBreakBefore w:val="0"/>
              <w:widowControl w:val="0"/>
              <w:wordWrap/>
              <w:overflowPunct/>
              <w:topLinePunct w:val="0"/>
              <w:bidi w:val="0"/>
            </w:pPr>
          </w:p>
        </w:tc>
      </w:tr>
      <w:tr w14:paraId="7E9C09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067A2B4">
            <w:pPr>
              <w:pStyle w:val="28"/>
              <w:keepNext w:val="0"/>
              <w:keepLines w:val="0"/>
              <w:pageBreakBefore w:val="0"/>
              <w:widowControl w:val="0"/>
              <w:wordWrap/>
              <w:overflowPunct/>
              <w:topLinePunct w:val="0"/>
              <w:bidi w:val="0"/>
            </w:pPr>
          </w:p>
        </w:tc>
        <w:tc>
          <w:tcPr>
            <w:tcW w:w="919" w:type="dxa"/>
          </w:tcPr>
          <w:p w14:paraId="71272069">
            <w:pPr>
              <w:pStyle w:val="28"/>
              <w:keepNext w:val="0"/>
              <w:keepLines w:val="0"/>
              <w:pageBreakBefore w:val="0"/>
              <w:widowControl w:val="0"/>
              <w:wordWrap/>
              <w:overflowPunct/>
              <w:topLinePunct w:val="0"/>
              <w:bidi w:val="0"/>
            </w:pPr>
          </w:p>
        </w:tc>
        <w:tc>
          <w:tcPr>
            <w:tcW w:w="2289" w:type="dxa"/>
          </w:tcPr>
          <w:p w14:paraId="6A73F4C8">
            <w:pPr>
              <w:pStyle w:val="28"/>
              <w:keepNext w:val="0"/>
              <w:keepLines w:val="0"/>
              <w:pageBreakBefore w:val="0"/>
              <w:widowControl w:val="0"/>
              <w:wordWrap/>
              <w:overflowPunct/>
              <w:topLinePunct w:val="0"/>
              <w:bidi w:val="0"/>
            </w:pPr>
          </w:p>
        </w:tc>
        <w:tc>
          <w:tcPr>
            <w:tcW w:w="1238" w:type="dxa"/>
          </w:tcPr>
          <w:p w14:paraId="130185BA">
            <w:pPr>
              <w:keepNext w:val="0"/>
              <w:keepLines w:val="0"/>
              <w:pageBreakBefore w:val="0"/>
              <w:widowControl w:val="0"/>
              <w:wordWrap/>
              <w:overflowPunct/>
              <w:topLinePunct w:val="0"/>
              <w:bidi w:val="0"/>
              <w:spacing w:before="173" w:line="229" w:lineRule="auto"/>
              <w:ind w:left="314"/>
            </w:pPr>
          </w:p>
        </w:tc>
        <w:tc>
          <w:tcPr>
            <w:tcW w:w="1245" w:type="dxa"/>
          </w:tcPr>
          <w:p w14:paraId="159E721C">
            <w:pPr>
              <w:keepNext w:val="0"/>
              <w:keepLines w:val="0"/>
              <w:pageBreakBefore w:val="0"/>
              <w:widowControl w:val="0"/>
              <w:wordWrap/>
              <w:overflowPunct/>
              <w:topLinePunct w:val="0"/>
              <w:bidi w:val="0"/>
              <w:spacing w:before="173" w:line="229" w:lineRule="auto"/>
              <w:ind w:left="314"/>
            </w:pPr>
          </w:p>
        </w:tc>
        <w:tc>
          <w:tcPr>
            <w:tcW w:w="1245" w:type="dxa"/>
          </w:tcPr>
          <w:p w14:paraId="1A46C899">
            <w:pPr>
              <w:pStyle w:val="28"/>
              <w:keepNext w:val="0"/>
              <w:keepLines w:val="0"/>
              <w:pageBreakBefore w:val="0"/>
              <w:widowControl w:val="0"/>
              <w:wordWrap/>
              <w:overflowPunct/>
              <w:topLinePunct w:val="0"/>
              <w:bidi w:val="0"/>
            </w:pPr>
          </w:p>
        </w:tc>
      </w:tr>
      <w:tr w14:paraId="52872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C93B69D">
            <w:pPr>
              <w:pStyle w:val="28"/>
              <w:keepNext w:val="0"/>
              <w:keepLines w:val="0"/>
              <w:pageBreakBefore w:val="0"/>
              <w:widowControl w:val="0"/>
              <w:wordWrap/>
              <w:overflowPunct/>
              <w:topLinePunct w:val="0"/>
              <w:bidi w:val="0"/>
            </w:pPr>
          </w:p>
        </w:tc>
        <w:tc>
          <w:tcPr>
            <w:tcW w:w="919" w:type="dxa"/>
          </w:tcPr>
          <w:p w14:paraId="2334384F">
            <w:pPr>
              <w:pStyle w:val="28"/>
              <w:keepNext w:val="0"/>
              <w:keepLines w:val="0"/>
              <w:pageBreakBefore w:val="0"/>
              <w:widowControl w:val="0"/>
              <w:wordWrap/>
              <w:overflowPunct/>
              <w:topLinePunct w:val="0"/>
              <w:bidi w:val="0"/>
            </w:pPr>
          </w:p>
        </w:tc>
        <w:tc>
          <w:tcPr>
            <w:tcW w:w="2289" w:type="dxa"/>
          </w:tcPr>
          <w:p w14:paraId="348DFF6E">
            <w:pPr>
              <w:pStyle w:val="28"/>
              <w:keepNext w:val="0"/>
              <w:keepLines w:val="0"/>
              <w:pageBreakBefore w:val="0"/>
              <w:widowControl w:val="0"/>
              <w:wordWrap/>
              <w:overflowPunct/>
              <w:topLinePunct w:val="0"/>
              <w:bidi w:val="0"/>
            </w:pPr>
          </w:p>
        </w:tc>
        <w:tc>
          <w:tcPr>
            <w:tcW w:w="1238" w:type="dxa"/>
          </w:tcPr>
          <w:p w14:paraId="0E357F49">
            <w:pPr>
              <w:pStyle w:val="28"/>
              <w:keepNext w:val="0"/>
              <w:keepLines w:val="0"/>
              <w:pageBreakBefore w:val="0"/>
              <w:widowControl w:val="0"/>
              <w:wordWrap/>
              <w:overflowPunct/>
              <w:topLinePunct w:val="0"/>
              <w:bidi w:val="0"/>
            </w:pPr>
          </w:p>
        </w:tc>
        <w:tc>
          <w:tcPr>
            <w:tcW w:w="1245" w:type="dxa"/>
          </w:tcPr>
          <w:p w14:paraId="3611E57A">
            <w:pPr>
              <w:pStyle w:val="28"/>
              <w:keepNext w:val="0"/>
              <w:keepLines w:val="0"/>
              <w:pageBreakBefore w:val="0"/>
              <w:widowControl w:val="0"/>
              <w:wordWrap/>
              <w:overflowPunct/>
              <w:topLinePunct w:val="0"/>
              <w:bidi w:val="0"/>
            </w:pPr>
          </w:p>
        </w:tc>
        <w:tc>
          <w:tcPr>
            <w:tcW w:w="1245" w:type="dxa"/>
          </w:tcPr>
          <w:p w14:paraId="3596FAD7">
            <w:pPr>
              <w:pStyle w:val="28"/>
              <w:keepNext w:val="0"/>
              <w:keepLines w:val="0"/>
              <w:pageBreakBefore w:val="0"/>
              <w:widowControl w:val="0"/>
              <w:wordWrap/>
              <w:overflowPunct/>
              <w:topLinePunct w:val="0"/>
              <w:bidi w:val="0"/>
            </w:pPr>
          </w:p>
        </w:tc>
      </w:tr>
      <w:tr w14:paraId="3F5DF2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5AE0E1E">
            <w:pPr>
              <w:pStyle w:val="28"/>
              <w:keepNext w:val="0"/>
              <w:keepLines w:val="0"/>
              <w:pageBreakBefore w:val="0"/>
              <w:widowControl w:val="0"/>
              <w:wordWrap/>
              <w:overflowPunct/>
              <w:topLinePunct w:val="0"/>
              <w:bidi w:val="0"/>
            </w:pPr>
          </w:p>
        </w:tc>
        <w:tc>
          <w:tcPr>
            <w:tcW w:w="919" w:type="dxa"/>
          </w:tcPr>
          <w:p w14:paraId="3BA98528">
            <w:pPr>
              <w:pStyle w:val="28"/>
              <w:keepNext w:val="0"/>
              <w:keepLines w:val="0"/>
              <w:pageBreakBefore w:val="0"/>
              <w:widowControl w:val="0"/>
              <w:wordWrap/>
              <w:overflowPunct/>
              <w:topLinePunct w:val="0"/>
              <w:bidi w:val="0"/>
            </w:pPr>
          </w:p>
        </w:tc>
        <w:tc>
          <w:tcPr>
            <w:tcW w:w="2289" w:type="dxa"/>
          </w:tcPr>
          <w:p w14:paraId="40C54560">
            <w:pPr>
              <w:pStyle w:val="28"/>
              <w:keepNext w:val="0"/>
              <w:keepLines w:val="0"/>
              <w:pageBreakBefore w:val="0"/>
              <w:widowControl w:val="0"/>
              <w:wordWrap/>
              <w:overflowPunct/>
              <w:topLinePunct w:val="0"/>
              <w:bidi w:val="0"/>
            </w:pPr>
          </w:p>
        </w:tc>
        <w:tc>
          <w:tcPr>
            <w:tcW w:w="1238" w:type="dxa"/>
          </w:tcPr>
          <w:p w14:paraId="448A4279">
            <w:pPr>
              <w:pStyle w:val="28"/>
              <w:keepNext w:val="0"/>
              <w:keepLines w:val="0"/>
              <w:pageBreakBefore w:val="0"/>
              <w:widowControl w:val="0"/>
              <w:wordWrap/>
              <w:overflowPunct/>
              <w:topLinePunct w:val="0"/>
              <w:bidi w:val="0"/>
            </w:pPr>
          </w:p>
        </w:tc>
        <w:tc>
          <w:tcPr>
            <w:tcW w:w="1245" w:type="dxa"/>
          </w:tcPr>
          <w:p w14:paraId="2010C116">
            <w:pPr>
              <w:pStyle w:val="28"/>
              <w:keepNext w:val="0"/>
              <w:keepLines w:val="0"/>
              <w:pageBreakBefore w:val="0"/>
              <w:widowControl w:val="0"/>
              <w:wordWrap/>
              <w:overflowPunct/>
              <w:topLinePunct w:val="0"/>
              <w:bidi w:val="0"/>
            </w:pPr>
          </w:p>
        </w:tc>
        <w:tc>
          <w:tcPr>
            <w:tcW w:w="1245" w:type="dxa"/>
          </w:tcPr>
          <w:p w14:paraId="670B19E4">
            <w:pPr>
              <w:pStyle w:val="28"/>
              <w:keepNext w:val="0"/>
              <w:keepLines w:val="0"/>
              <w:pageBreakBefore w:val="0"/>
              <w:widowControl w:val="0"/>
              <w:wordWrap/>
              <w:overflowPunct/>
              <w:topLinePunct w:val="0"/>
              <w:bidi w:val="0"/>
            </w:pPr>
          </w:p>
        </w:tc>
      </w:tr>
      <w:tr w14:paraId="068BC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AF48EBF">
            <w:pPr>
              <w:pStyle w:val="28"/>
              <w:keepNext w:val="0"/>
              <w:keepLines w:val="0"/>
              <w:pageBreakBefore w:val="0"/>
              <w:widowControl w:val="0"/>
              <w:wordWrap/>
              <w:overflowPunct/>
              <w:topLinePunct w:val="0"/>
              <w:bidi w:val="0"/>
            </w:pPr>
          </w:p>
        </w:tc>
        <w:tc>
          <w:tcPr>
            <w:tcW w:w="919" w:type="dxa"/>
          </w:tcPr>
          <w:p w14:paraId="7AF919D0">
            <w:pPr>
              <w:pStyle w:val="28"/>
              <w:keepNext w:val="0"/>
              <w:keepLines w:val="0"/>
              <w:pageBreakBefore w:val="0"/>
              <w:widowControl w:val="0"/>
              <w:wordWrap/>
              <w:overflowPunct/>
              <w:topLinePunct w:val="0"/>
              <w:bidi w:val="0"/>
            </w:pPr>
          </w:p>
        </w:tc>
        <w:tc>
          <w:tcPr>
            <w:tcW w:w="2289" w:type="dxa"/>
          </w:tcPr>
          <w:p w14:paraId="50641B70">
            <w:pPr>
              <w:pStyle w:val="28"/>
              <w:keepNext w:val="0"/>
              <w:keepLines w:val="0"/>
              <w:pageBreakBefore w:val="0"/>
              <w:widowControl w:val="0"/>
              <w:wordWrap/>
              <w:overflowPunct/>
              <w:topLinePunct w:val="0"/>
              <w:bidi w:val="0"/>
            </w:pPr>
          </w:p>
        </w:tc>
        <w:tc>
          <w:tcPr>
            <w:tcW w:w="1238" w:type="dxa"/>
          </w:tcPr>
          <w:p w14:paraId="7D436495">
            <w:pPr>
              <w:pStyle w:val="28"/>
              <w:keepNext w:val="0"/>
              <w:keepLines w:val="0"/>
              <w:pageBreakBefore w:val="0"/>
              <w:widowControl w:val="0"/>
              <w:wordWrap/>
              <w:overflowPunct/>
              <w:topLinePunct w:val="0"/>
              <w:bidi w:val="0"/>
            </w:pPr>
          </w:p>
        </w:tc>
        <w:tc>
          <w:tcPr>
            <w:tcW w:w="1245" w:type="dxa"/>
          </w:tcPr>
          <w:p w14:paraId="598EFF78">
            <w:pPr>
              <w:pStyle w:val="28"/>
              <w:keepNext w:val="0"/>
              <w:keepLines w:val="0"/>
              <w:pageBreakBefore w:val="0"/>
              <w:widowControl w:val="0"/>
              <w:wordWrap/>
              <w:overflowPunct/>
              <w:topLinePunct w:val="0"/>
              <w:bidi w:val="0"/>
            </w:pPr>
          </w:p>
        </w:tc>
        <w:tc>
          <w:tcPr>
            <w:tcW w:w="1245" w:type="dxa"/>
          </w:tcPr>
          <w:p w14:paraId="49F22C3E">
            <w:pPr>
              <w:pStyle w:val="28"/>
              <w:keepNext w:val="0"/>
              <w:keepLines w:val="0"/>
              <w:pageBreakBefore w:val="0"/>
              <w:widowControl w:val="0"/>
              <w:wordWrap/>
              <w:overflowPunct/>
              <w:topLinePunct w:val="0"/>
              <w:bidi w:val="0"/>
            </w:pPr>
          </w:p>
        </w:tc>
      </w:tr>
    </w:tbl>
    <w:p w14:paraId="2117F05D">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51503"/>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6EB6DCC5">
          <w:pPr>
            <w:keepNext w:val="0"/>
            <w:keepLines w:val="0"/>
            <w:pageBreakBefore w:val="0"/>
            <w:widowControl w:val="0"/>
            <w:wordWrap/>
            <w:overflowPunct/>
            <w:topLinePunct w:val="0"/>
            <w:bidi w:val="0"/>
            <w:jc w:val="center"/>
            <w:rPr>
              <w:rFonts w:hint="eastAsia" w:ascii="宋体" w:hAnsi="宋体" w:eastAsia="宋体" w:cs="宋体"/>
              <w:sz w:val="24"/>
              <w:szCs w:val="24"/>
            </w:rPr>
          </w:pPr>
          <w:r>
            <w:rPr>
              <w:rFonts w:hint="eastAsia" w:ascii="宋体" w:hAnsi="宋体" w:eastAsia="宋体" w:cs="宋体"/>
              <w:sz w:val="24"/>
              <w:szCs w:val="24"/>
            </w:rPr>
            <w:t>目录</w:t>
          </w:r>
        </w:p>
        <w:p w14:paraId="223FABDA">
          <w:pPr>
            <w:pStyle w:val="16"/>
            <w:tabs>
              <w:tab w:val="right" w:leader="dot" w:pos="8306"/>
            </w:tabs>
          </w:pPr>
          <w:bookmarkStart w:id="52" w:name="_GoBack"/>
          <w:bookmarkEnd w:id="5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_Toc16212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_Toc16212 \h </w:instrText>
          </w:r>
          <w:r>
            <w:fldChar w:fldCharType="separate"/>
          </w:r>
          <w:r>
            <w:t>1</w:t>
          </w:r>
          <w:r>
            <w:fldChar w:fldCharType="end"/>
          </w:r>
          <w:r>
            <w:rPr>
              <w:rFonts w:hint="eastAsia" w:ascii="宋体" w:hAnsi="宋体" w:eastAsia="宋体" w:cs="宋体"/>
              <w:szCs w:val="24"/>
            </w:rPr>
            <w:fldChar w:fldCharType="end"/>
          </w:r>
        </w:p>
        <w:p w14:paraId="79E1BA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_Toc638 </w:instrText>
          </w:r>
          <w:r>
            <w:rPr>
              <w:rFonts w:hint="eastAsia" w:ascii="宋体" w:hAnsi="宋体" w:eastAsia="宋体" w:cs="宋体"/>
              <w:szCs w:val="24"/>
            </w:rPr>
            <w:fldChar w:fldCharType="separate"/>
          </w:r>
          <w:r>
            <w:t>运维服务目录管理</w:t>
          </w:r>
          <w:r>
            <w:rPr>
              <w:rFonts w:hint="eastAsia"/>
              <w:lang w:val="en-US" w:eastAsia="zh-CN"/>
            </w:rPr>
            <w:t>制度</w:t>
          </w:r>
          <w:r>
            <w:tab/>
          </w:r>
          <w:r>
            <w:fldChar w:fldCharType="begin"/>
          </w:r>
          <w:r>
            <w:instrText xml:space="preserve"> PAGEREF _Toc638 \h </w:instrText>
          </w:r>
          <w:r>
            <w:fldChar w:fldCharType="separate"/>
          </w:r>
          <w:r>
            <w:t>1</w:t>
          </w:r>
          <w:r>
            <w:fldChar w:fldCharType="end"/>
          </w:r>
          <w:r>
            <w:rPr>
              <w:rFonts w:hint="eastAsia" w:ascii="宋体" w:hAnsi="宋体" w:eastAsia="宋体" w:cs="宋体"/>
              <w:szCs w:val="24"/>
            </w:rPr>
            <w:fldChar w:fldCharType="end"/>
          </w:r>
        </w:p>
        <w:p w14:paraId="09AEB6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_Toc24483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_Toc24483 \h </w:instrText>
          </w:r>
          <w:r>
            <w:fldChar w:fldCharType="separate"/>
          </w:r>
          <w:r>
            <w:t>4</w:t>
          </w:r>
          <w:r>
            <w:fldChar w:fldCharType="end"/>
          </w:r>
          <w:r>
            <w:rPr>
              <w:rFonts w:hint="eastAsia" w:ascii="宋体" w:hAnsi="宋体" w:eastAsia="宋体" w:cs="宋体"/>
              <w:szCs w:val="24"/>
            </w:rPr>
            <w:fldChar w:fldCharType="end"/>
          </w:r>
        </w:p>
        <w:p w14:paraId="7AF3A17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_Toc6264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_Toc6264 \h </w:instrText>
          </w:r>
          <w:r>
            <w:fldChar w:fldCharType="separate"/>
          </w:r>
          <w:r>
            <w:t>4</w:t>
          </w:r>
          <w:r>
            <w:fldChar w:fldCharType="end"/>
          </w:r>
          <w:r>
            <w:rPr>
              <w:rFonts w:hint="eastAsia" w:ascii="宋体" w:hAnsi="宋体" w:eastAsia="宋体" w:cs="宋体"/>
              <w:szCs w:val="24"/>
            </w:rPr>
            <w:fldChar w:fldCharType="end"/>
          </w:r>
        </w:p>
        <w:p w14:paraId="56DC86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_Toc28823 </w:instrText>
          </w:r>
          <w:r>
            <w:rPr>
              <w:rFonts w:hint="eastAsia" w:ascii="宋体" w:hAnsi="宋体" w:eastAsia="宋体" w:cs="宋体"/>
              <w:szCs w:val="24"/>
            </w:rPr>
            <w:fldChar w:fldCharType="separate"/>
          </w:r>
          <w:r>
            <w:rPr>
              <w:rFonts w:hint="default"/>
            </w:rPr>
            <w:t xml:space="preserve">3. </w:t>
          </w:r>
          <w:r>
            <w:t>适用范围</w:t>
          </w:r>
          <w:r>
            <w:tab/>
          </w:r>
          <w:r>
            <w:fldChar w:fldCharType="begin"/>
          </w:r>
          <w:r>
            <w:instrText xml:space="preserve"> PAGEREF _Toc28823 \h </w:instrText>
          </w:r>
          <w:r>
            <w:fldChar w:fldCharType="separate"/>
          </w:r>
          <w:r>
            <w:t>4</w:t>
          </w:r>
          <w:r>
            <w:fldChar w:fldCharType="end"/>
          </w:r>
          <w:r>
            <w:rPr>
              <w:rFonts w:hint="eastAsia" w:ascii="宋体" w:hAnsi="宋体" w:eastAsia="宋体" w:cs="宋体"/>
              <w:szCs w:val="24"/>
            </w:rPr>
            <w:fldChar w:fldCharType="end"/>
          </w:r>
        </w:p>
        <w:p w14:paraId="53FB23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_Toc17937 </w:instrText>
          </w:r>
          <w:r>
            <w:rPr>
              <w:rFonts w:hint="eastAsia" w:ascii="宋体" w:hAnsi="宋体" w:eastAsia="宋体" w:cs="宋体"/>
              <w:szCs w:val="24"/>
            </w:rPr>
            <w:fldChar w:fldCharType="separate"/>
          </w:r>
          <w:r>
            <w:rPr>
              <w:rFonts w:hint="default"/>
            </w:rPr>
            <w:t xml:space="preserve">4. </w:t>
          </w:r>
          <w:r>
            <w:t>职责</w:t>
          </w:r>
          <w:r>
            <w:tab/>
          </w:r>
          <w:r>
            <w:fldChar w:fldCharType="begin"/>
          </w:r>
          <w:r>
            <w:instrText xml:space="preserve"> PAGEREF _Toc17937 \h </w:instrText>
          </w:r>
          <w:r>
            <w:fldChar w:fldCharType="separate"/>
          </w:r>
          <w:r>
            <w:t>4</w:t>
          </w:r>
          <w:r>
            <w:fldChar w:fldCharType="end"/>
          </w:r>
          <w:r>
            <w:rPr>
              <w:rFonts w:hint="eastAsia" w:ascii="宋体" w:hAnsi="宋体" w:eastAsia="宋体" w:cs="宋体"/>
              <w:szCs w:val="24"/>
            </w:rPr>
            <w:fldChar w:fldCharType="end"/>
          </w:r>
        </w:p>
        <w:p w14:paraId="7EBA1C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_Toc15120 </w:instrText>
          </w:r>
          <w:r>
            <w:rPr>
              <w:rFonts w:hint="eastAsia" w:ascii="宋体" w:hAnsi="宋体" w:eastAsia="宋体" w:cs="宋体"/>
              <w:szCs w:val="24"/>
            </w:rPr>
            <w:fldChar w:fldCharType="separate"/>
          </w:r>
          <w:r>
            <w:rPr>
              <w:rFonts w:hint="default"/>
            </w:rPr>
            <w:t xml:space="preserve">4.1. </w:t>
          </w:r>
          <w:r>
            <w:t>管理者代表</w:t>
          </w:r>
          <w:r>
            <w:tab/>
          </w:r>
          <w:r>
            <w:fldChar w:fldCharType="begin"/>
          </w:r>
          <w:r>
            <w:instrText xml:space="preserve"> PAGEREF _Toc15120 \h </w:instrText>
          </w:r>
          <w:r>
            <w:fldChar w:fldCharType="separate"/>
          </w:r>
          <w:r>
            <w:t>4</w:t>
          </w:r>
          <w:r>
            <w:fldChar w:fldCharType="end"/>
          </w:r>
          <w:r>
            <w:rPr>
              <w:rFonts w:hint="eastAsia" w:ascii="宋体" w:hAnsi="宋体" w:eastAsia="宋体" w:cs="宋体"/>
              <w:szCs w:val="24"/>
            </w:rPr>
            <w:fldChar w:fldCharType="end"/>
          </w:r>
        </w:p>
        <w:p w14:paraId="5391E5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_Toc3842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人力部</w:t>
          </w:r>
          <w:r>
            <w:tab/>
          </w:r>
          <w:r>
            <w:fldChar w:fldCharType="begin"/>
          </w:r>
          <w:r>
            <w:instrText xml:space="preserve"> PAGEREF _Toc3842 \h </w:instrText>
          </w:r>
          <w:r>
            <w:fldChar w:fldCharType="separate"/>
          </w:r>
          <w:r>
            <w:t>4</w:t>
          </w:r>
          <w:r>
            <w:fldChar w:fldCharType="end"/>
          </w:r>
          <w:r>
            <w:rPr>
              <w:rFonts w:hint="eastAsia" w:ascii="宋体" w:hAnsi="宋体" w:eastAsia="宋体" w:cs="宋体"/>
              <w:szCs w:val="24"/>
            </w:rPr>
            <w:fldChar w:fldCharType="end"/>
          </w:r>
        </w:p>
        <w:p w14:paraId="0C89C2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运维部</w:t>
          </w:r>
          <w:r>
            <w:tab/>
          </w:r>
          <w:r>
            <w:fldChar w:fldCharType="begin"/>
          </w:r>
          <w:r>
            <w:instrText xml:space="preserve"> PAGEREF _Toc206 \h </w:instrText>
          </w:r>
          <w:r>
            <w:fldChar w:fldCharType="separate"/>
          </w:r>
          <w:r>
            <w:t>4</w:t>
          </w:r>
          <w:r>
            <w:fldChar w:fldCharType="end"/>
          </w:r>
          <w:r>
            <w:rPr>
              <w:rFonts w:hint="eastAsia" w:ascii="宋体" w:hAnsi="宋体" w:eastAsia="宋体" w:cs="宋体"/>
              <w:szCs w:val="24"/>
            </w:rPr>
            <w:fldChar w:fldCharType="end"/>
          </w:r>
        </w:p>
        <w:p w14:paraId="131E095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_Toc3887 </w:instrText>
          </w:r>
          <w:r>
            <w:rPr>
              <w:rFonts w:hint="eastAsia" w:ascii="宋体" w:hAnsi="宋体" w:eastAsia="宋体" w:cs="宋体"/>
              <w:szCs w:val="24"/>
            </w:rPr>
            <w:fldChar w:fldCharType="separate"/>
          </w:r>
          <w:r>
            <w:rPr>
              <w:rFonts w:hint="default"/>
            </w:rPr>
            <w:t xml:space="preserve">5. </w:t>
          </w:r>
          <w:r>
            <w:t>具体内容</w:t>
          </w:r>
          <w:r>
            <w:tab/>
          </w:r>
          <w:r>
            <w:fldChar w:fldCharType="begin"/>
          </w:r>
          <w:r>
            <w:instrText xml:space="preserve"> PAGEREF _Toc3887 \h </w:instrText>
          </w:r>
          <w:r>
            <w:fldChar w:fldCharType="separate"/>
          </w:r>
          <w:r>
            <w:t>4</w:t>
          </w:r>
          <w:r>
            <w:fldChar w:fldCharType="end"/>
          </w:r>
          <w:r>
            <w:rPr>
              <w:rFonts w:hint="eastAsia" w:ascii="宋体" w:hAnsi="宋体" w:eastAsia="宋体" w:cs="宋体"/>
              <w:szCs w:val="24"/>
            </w:rPr>
            <w:fldChar w:fldCharType="end"/>
          </w:r>
        </w:p>
        <w:p w14:paraId="74CB4D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_Toc29356 </w:instrText>
          </w:r>
          <w:r>
            <w:rPr>
              <w:rFonts w:hint="eastAsia" w:ascii="宋体" w:hAnsi="宋体" w:eastAsia="宋体" w:cs="宋体"/>
              <w:szCs w:val="24"/>
            </w:rPr>
            <w:fldChar w:fldCharType="separate"/>
          </w:r>
          <w:r>
            <w:rPr>
              <w:rFonts w:hint="default"/>
            </w:rPr>
            <w:t xml:space="preserve">5.1. </w:t>
          </w:r>
          <w:r>
            <w:t>建立服务目录</w:t>
          </w:r>
          <w:r>
            <w:tab/>
          </w:r>
          <w:r>
            <w:fldChar w:fldCharType="begin"/>
          </w:r>
          <w:r>
            <w:instrText xml:space="preserve"> PAGEREF _Toc29356 \h </w:instrText>
          </w:r>
          <w:r>
            <w:fldChar w:fldCharType="separate"/>
          </w:r>
          <w:r>
            <w:t>4</w:t>
          </w:r>
          <w:r>
            <w:fldChar w:fldCharType="end"/>
          </w:r>
          <w:r>
            <w:rPr>
              <w:rFonts w:hint="eastAsia" w:ascii="宋体" w:hAnsi="宋体" w:eastAsia="宋体" w:cs="宋体"/>
              <w:szCs w:val="24"/>
            </w:rPr>
            <w:fldChar w:fldCharType="end"/>
          </w:r>
        </w:p>
        <w:p w14:paraId="0D7DEE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_Toc11913 </w:instrText>
          </w:r>
          <w:r>
            <w:rPr>
              <w:rFonts w:hint="eastAsia" w:ascii="宋体" w:hAnsi="宋体" w:eastAsia="宋体" w:cs="宋体"/>
              <w:szCs w:val="24"/>
            </w:rPr>
            <w:fldChar w:fldCharType="separate"/>
          </w:r>
          <w:r>
            <w:rPr>
              <w:rFonts w:hint="default"/>
            </w:rPr>
            <w:t xml:space="preserve">5.2. </w:t>
          </w:r>
          <w:r>
            <w:t>监控服务目录</w:t>
          </w:r>
          <w:r>
            <w:tab/>
          </w:r>
          <w:r>
            <w:fldChar w:fldCharType="begin"/>
          </w:r>
          <w:r>
            <w:instrText xml:space="preserve"> PAGEREF _Toc11913 \h </w:instrText>
          </w:r>
          <w:r>
            <w:fldChar w:fldCharType="separate"/>
          </w:r>
          <w:r>
            <w:t>5</w:t>
          </w:r>
          <w:r>
            <w:fldChar w:fldCharType="end"/>
          </w:r>
          <w:r>
            <w:rPr>
              <w:rFonts w:hint="eastAsia" w:ascii="宋体" w:hAnsi="宋体" w:eastAsia="宋体" w:cs="宋体"/>
              <w:szCs w:val="24"/>
            </w:rPr>
            <w:fldChar w:fldCharType="end"/>
          </w:r>
        </w:p>
        <w:p w14:paraId="12EF44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_Toc20839 </w:instrText>
          </w:r>
          <w:r>
            <w:rPr>
              <w:rFonts w:hint="eastAsia" w:ascii="宋体" w:hAnsi="宋体" w:eastAsia="宋体" w:cs="宋体"/>
              <w:szCs w:val="24"/>
            </w:rPr>
            <w:fldChar w:fldCharType="separate"/>
          </w:r>
          <w:r>
            <w:rPr>
              <w:rFonts w:hint="default"/>
            </w:rPr>
            <w:t xml:space="preserve">5.3. </w:t>
          </w:r>
          <w:r>
            <w:t>定期评审</w:t>
          </w:r>
          <w:r>
            <w:tab/>
          </w:r>
          <w:r>
            <w:fldChar w:fldCharType="begin"/>
          </w:r>
          <w:r>
            <w:instrText xml:space="preserve"> PAGEREF _Toc20839 \h </w:instrText>
          </w:r>
          <w:r>
            <w:fldChar w:fldCharType="separate"/>
          </w:r>
          <w:r>
            <w:t>5</w:t>
          </w:r>
          <w:r>
            <w:fldChar w:fldCharType="end"/>
          </w:r>
          <w:r>
            <w:rPr>
              <w:rFonts w:hint="eastAsia" w:ascii="宋体" w:hAnsi="宋体" w:eastAsia="宋体" w:cs="宋体"/>
              <w:szCs w:val="24"/>
            </w:rPr>
            <w:fldChar w:fldCharType="end"/>
          </w:r>
        </w:p>
        <w:p w14:paraId="693659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_Toc2332 </w:instrText>
          </w:r>
          <w:r>
            <w:rPr>
              <w:rFonts w:hint="eastAsia" w:ascii="宋体" w:hAnsi="宋体" w:eastAsia="宋体" w:cs="宋体"/>
              <w:szCs w:val="24"/>
            </w:rPr>
            <w:fldChar w:fldCharType="separate"/>
          </w:r>
          <w:r>
            <w:rPr>
              <w:rFonts w:hint="default"/>
            </w:rPr>
            <w:t xml:space="preserve">5.4. </w:t>
          </w:r>
          <w:r>
            <w:t>修订和验证</w:t>
          </w:r>
          <w:r>
            <w:tab/>
          </w:r>
          <w:r>
            <w:fldChar w:fldCharType="begin"/>
          </w:r>
          <w:r>
            <w:instrText xml:space="preserve"> PAGEREF _Toc2332 \h </w:instrText>
          </w:r>
          <w:r>
            <w:fldChar w:fldCharType="separate"/>
          </w:r>
          <w:r>
            <w:t>5</w:t>
          </w:r>
          <w:r>
            <w:fldChar w:fldCharType="end"/>
          </w:r>
          <w:r>
            <w:rPr>
              <w:rFonts w:hint="eastAsia" w:ascii="宋体" w:hAnsi="宋体" w:eastAsia="宋体" w:cs="宋体"/>
              <w:szCs w:val="24"/>
            </w:rPr>
            <w:fldChar w:fldCharType="end"/>
          </w:r>
        </w:p>
        <w:p w14:paraId="1EA9E3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_Toc22012 </w:instrText>
          </w:r>
          <w:r>
            <w:rPr>
              <w:rFonts w:hint="eastAsia" w:ascii="宋体" w:hAnsi="宋体" w:eastAsia="宋体" w:cs="宋体"/>
              <w:szCs w:val="24"/>
            </w:rPr>
            <w:fldChar w:fldCharType="separate"/>
          </w:r>
          <w:r>
            <w:rPr>
              <w:rFonts w:hint="default"/>
            </w:rPr>
            <w:t xml:space="preserve">5.5. </w:t>
          </w:r>
          <w:r>
            <w:t>服务目录的发布</w:t>
          </w:r>
          <w:r>
            <w:tab/>
          </w:r>
          <w:r>
            <w:fldChar w:fldCharType="begin"/>
          </w:r>
          <w:r>
            <w:instrText xml:space="preserve"> PAGEREF _Toc22012 \h </w:instrText>
          </w:r>
          <w:r>
            <w:fldChar w:fldCharType="separate"/>
          </w:r>
          <w:r>
            <w:t>6</w:t>
          </w:r>
          <w:r>
            <w:fldChar w:fldCharType="end"/>
          </w:r>
          <w:r>
            <w:rPr>
              <w:rFonts w:hint="eastAsia" w:ascii="宋体" w:hAnsi="宋体" w:eastAsia="宋体" w:cs="宋体"/>
              <w:szCs w:val="24"/>
            </w:rPr>
            <w:fldChar w:fldCharType="end"/>
          </w:r>
        </w:p>
        <w:p w14:paraId="2FCCFF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_Toc21649 </w:instrText>
          </w:r>
          <w:r>
            <w:rPr>
              <w:rFonts w:hint="eastAsia" w:ascii="宋体" w:hAnsi="宋体" w:eastAsia="宋体" w:cs="宋体"/>
              <w:szCs w:val="24"/>
            </w:rPr>
            <w:fldChar w:fldCharType="separate"/>
          </w:r>
          <w:r>
            <w:rPr>
              <w:rFonts w:hint="default"/>
            </w:rPr>
            <w:t xml:space="preserve">5.6. </w:t>
          </w:r>
          <w:r>
            <w:t>服务目录的使用</w:t>
          </w:r>
          <w:r>
            <w:tab/>
          </w:r>
          <w:r>
            <w:fldChar w:fldCharType="begin"/>
          </w:r>
          <w:r>
            <w:instrText xml:space="preserve"> PAGEREF _Toc21649 \h </w:instrText>
          </w:r>
          <w:r>
            <w:fldChar w:fldCharType="separate"/>
          </w:r>
          <w:r>
            <w:t>6</w:t>
          </w:r>
          <w:r>
            <w:fldChar w:fldCharType="end"/>
          </w:r>
          <w:r>
            <w:rPr>
              <w:rFonts w:hint="eastAsia" w:ascii="宋体" w:hAnsi="宋体" w:eastAsia="宋体" w:cs="宋体"/>
              <w:szCs w:val="24"/>
            </w:rPr>
            <w:fldChar w:fldCharType="end"/>
          </w:r>
        </w:p>
        <w:p w14:paraId="60F330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_Toc9636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服务目录的持续改进</w:t>
          </w:r>
          <w:r>
            <w:tab/>
          </w:r>
          <w:r>
            <w:fldChar w:fldCharType="begin"/>
          </w:r>
          <w:r>
            <w:instrText xml:space="preserve"> PAGEREF _Toc9636 \h </w:instrText>
          </w:r>
          <w:r>
            <w:fldChar w:fldCharType="separate"/>
          </w:r>
          <w:r>
            <w:t>6</w:t>
          </w:r>
          <w:r>
            <w:fldChar w:fldCharType="end"/>
          </w:r>
          <w:r>
            <w:rPr>
              <w:rFonts w:hint="eastAsia" w:ascii="宋体" w:hAnsi="宋体" w:eastAsia="宋体" w:cs="宋体"/>
              <w:szCs w:val="24"/>
            </w:rPr>
            <w:fldChar w:fldCharType="end"/>
          </w:r>
        </w:p>
        <w:p w14:paraId="181048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_Toc5795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服务目录与其他流程的关系</w:t>
          </w:r>
          <w:r>
            <w:tab/>
          </w:r>
          <w:r>
            <w:fldChar w:fldCharType="begin"/>
          </w:r>
          <w:r>
            <w:instrText xml:space="preserve"> PAGEREF _Toc5795 \h </w:instrText>
          </w:r>
          <w:r>
            <w:fldChar w:fldCharType="separate"/>
          </w:r>
          <w:r>
            <w:t>7</w:t>
          </w:r>
          <w:r>
            <w:fldChar w:fldCharType="end"/>
          </w:r>
          <w:r>
            <w:rPr>
              <w:rFonts w:hint="eastAsia" w:ascii="宋体" w:hAnsi="宋体" w:eastAsia="宋体" w:cs="宋体"/>
              <w:szCs w:val="24"/>
            </w:rPr>
            <w:fldChar w:fldCharType="end"/>
          </w:r>
        </w:p>
        <w:p w14:paraId="15D693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_Toc30449 </w:instrText>
          </w:r>
          <w:r>
            <w:rPr>
              <w:rFonts w:hint="eastAsia" w:ascii="宋体" w:hAnsi="宋体" w:eastAsia="宋体" w:cs="宋体"/>
              <w:szCs w:val="24"/>
            </w:rPr>
            <w:fldChar w:fldCharType="separate"/>
          </w:r>
          <w:r>
            <w:rPr>
              <w:rFonts w:hint="default"/>
            </w:rPr>
            <w:t xml:space="preserve">7. </w:t>
          </w:r>
          <w:r>
            <w:rPr>
              <w:rFonts w:hint="eastAsia"/>
              <w:lang w:val="en-US" w:eastAsia="zh-CN"/>
            </w:rPr>
            <w:t>附则</w:t>
          </w:r>
          <w:r>
            <w:tab/>
          </w:r>
          <w:r>
            <w:fldChar w:fldCharType="begin"/>
          </w:r>
          <w:r>
            <w:instrText xml:space="preserve"> PAGEREF _Toc30449 \h </w:instrText>
          </w:r>
          <w:r>
            <w:fldChar w:fldCharType="separate"/>
          </w:r>
          <w:r>
            <w:t>7</w:t>
          </w:r>
          <w:r>
            <w:fldChar w:fldCharType="end"/>
          </w:r>
          <w:r>
            <w:rPr>
              <w:rFonts w:hint="eastAsia" w:ascii="宋体" w:hAnsi="宋体" w:eastAsia="宋体" w:cs="宋体"/>
              <w:szCs w:val="24"/>
            </w:rPr>
            <w:fldChar w:fldCharType="end"/>
          </w:r>
        </w:p>
        <w:p w14:paraId="70CED03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_Toc23640 </w:instrText>
          </w:r>
          <w:r>
            <w:rPr>
              <w:rFonts w:hint="eastAsia" w:ascii="宋体" w:hAnsi="宋体" w:eastAsia="宋体" w:cs="宋体"/>
              <w:szCs w:val="24"/>
            </w:rPr>
            <w:fldChar w:fldCharType="separate"/>
          </w:r>
          <w:r>
            <w:rPr>
              <w:rFonts w:hint="default"/>
            </w:rPr>
            <w:t xml:space="preserve">8. </w:t>
          </w:r>
          <w:r>
            <w:rPr>
              <w:rFonts w:hint="eastAsia"/>
              <w:lang w:val="en-US" w:eastAsia="zh-CN"/>
            </w:rPr>
            <w:t>附件</w:t>
          </w:r>
          <w:r>
            <w:tab/>
          </w:r>
          <w:r>
            <w:fldChar w:fldCharType="begin"/>
          </w:r>
          <w:r>
            <w:instrText xml:space="preserve"> PAGEREF _Toc23640 \h </w:instrText>
          </w:r>
          <w:r>
            <w:fldChar w:fldCharType="separate"/>
          </w:r>
          <w:r>
            <w:t>7</w:t>
          </w:r>
          <w:r>
            <w:fldChar w:fldCharType="end"/>
          </w:r>
          <w:r>
            <w:rPr>
              <w:rFonts w:hint="eastAsia" w:ascii="宋体" w:hAnsi="宋体" w:eastAsia="宋体" w:cs="宋体"/>
              <w:szCs w:val="24"/>
            </w:rPr>
            <w:fldChar w:fldCharType="end"/>
          </w:r>
        </w:p>
        <w:p w14:paraId="4DDA914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_Toc30878 </w:instrText>
          </w:r>
          <w:r>
            <w:rPr>
              <w:rFonts w:hint="eastAsia" w:ascii="宋体" w:hAnsi="宋体" w:eastAsia="宋体" w:cs="宋体"/>
              <w:szCs w:val="24"/>
            </w:rPr>
            <w:fldChar w:fldCharType="separate"/>
          </w:r>
          <w:r>
            <w:rPr>
              <w:rFonts w:hint="default"/>
            </w:rPr>
            <w:t xml:space="preserve">9. </w:t>
          </w:r>
          <w:r>
            <w:t>相关记录</w:t>
          </w:r>
          <w:r>
            <w:tab/>
          </w:r>
          <w:r>
            <w:fldChar w:fldCharType="begin"/>
          </w:r>
          <w:r>
            <w:instrText xml:space="preserve"> PAGEREF _Toc30878 \h </w:instrText>
          </w:r>
          <w:r>
            <w:fldChar w:fldCharType="separate"/>
          </w:r>
          <w:r>
            <w:t>7</w:t>
          </w:r>
          <w:r>
            <w:fldChar w:fldCharType="end"/>
          </w:r>
          <w:r>
            <w:rPr>
              <w:rFonts w:hint="eastAsia" w:ascii="宋体" w:hAnsi="宋体" w:eastAsia="宋体" w:cs="宋体"/>
              <w:szCs w:val="24"/>
            </w:rPr>
            <w:fldChar w:fldCharType="end"/>
          </w:r>
        </w:p>
        <w:p w14:paraId="5189814B">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宋体" w:hAnsi="宋体" w:eastAsia="宋体" w:cs="宋体"/>
              <w:szCs w:val="24"/>
            </w:rPr>
            <w:fldChar w:fldCharType="end"/>
          </w:r>
        </w:p>
      </w:sdtContent>
    </w:sdt>
    <w:p w14:paraId="7C6332F3">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19130A4">
      <w:pPr>
        <w:pStyle w:val="29"/>
        <w:keepNext w:val="0"/>
        <w:keepLines w:val="0"/>
        <w:pageBreakBefore w:val="0"/>
        <w:widowControl w:val="0"/>
        <w:wordWrap/>
        <w:overflowPunct/>
        <w:topLinePunct w:val="0"/>
        <w:bidi w:val="0"/>
      </w:pPr>
      <w:bookmarkStart w:id="3" w:name="_Toc24483"/>
      <w:r>
        <w:t>目的</w:t>
      </w:r>
      <w:bookmarkEnd w:id="3"/>
    </w:p>
    <w:p w14:paraId="16FE264C">
      <w:pPr>
        <w:pStyle w:val="30"/>
        <w:bidi w:val="0"/>
      </w:pPr>
      <w:r>
        <w:t>服务目录是运维服务能力管理的基础，它描述了公司可以为顾客提供哪些服务，一个良好的服务目录可以帮助用户识别什么服务对他们是有效的，它是SLA的基础。</w:t>
      </w:r>
    </w:p>
    <w:p w14:paraId="435B2FD5">
      <w:pPr>
        <w:pStyle w:val="30"/>
        <w:bidi w:val="0"/>
      </w:pPr>
      <w:r>
        <w:t>为此公司要建立准确、有效的服务目标，对服务目录进行优化和管理，保证服务目录的持续、有效。</w:t>
      </w:r>
    </w:p>
    <w:p w14:paraId="60075A45">
      <w:pPr>
        <w:pStyle w:val="29"/>
        <w:keepNext w:val="0"/>
        <w:keepLines w:val="0"/>
        <w:pageBreakBefore w:val="0"/>
        <w:widowControl w:val="0"/>
        <w:wordWrap/>
        <w:overflowPunct/>
        <w:topLinePunct w:val="0"/>
        <w:bidi w:val="0"/>
        <w:rPr>
          <w:rFonts w:hint="eastAsia"/>
          <w:lang w:val="en-US" w:eastAsia="zh-CN"/>
        </w:rPr>
      </w:pPr>
      <w:bookmarkStart w:id="4" w:name="_Toc6264"/>
      <w:r>
        <w:rPr>
          <w:rFonts w:hint="eastAsia"/>
          <w:lang w:val="en-US" w:eastAsia="zh-CN"/>
        </w:rPr>
        <w:t>原则</w:t>
      </w:r>
      <w:bookmarkEnd w:id="4"/>
    </w:p>
    <w:p w14:paraId="127A29BC">
      <w:pPr>
        <w:pStyle w:val="30"/>
        <w:bidi w:val="0"/>
        <w:rPr>
          <w:rFonts w:hint="eastAsia"/>
          <w:lang w:val="en-US" w:eastAsia="zh-CN"/>
        </w:rPr>
      </w:pPr>
      <w:r>
        <w:t>以用户为中心</w:t>
      </w:r>
      <w:r>
        <w:rPr>
          <w:rFonts w:hint="default"/>
        </w:rPr>
        <w:t>，使用业务语言清晰展示服务内容与价值，确保用户能快速找到、理解并申请所需服务。</w:t>
      </w:r>
    </w:p>
    <w:p w14:paraId="0655B7E7">
      <w:pPr>
        <w:pStyle w:val="29"/>
        <w:keepNext w:val="0"/>
        <w:keepLines w:val="0"/>
        <w:pageBreakBefore w:val="0"/>
        <w:widowControl w:val="0"/>
        <w:wordWrap/>
        <w:overflowPunct/>
        <w:topLinePunct w:val="0"/>
        <w:bidi w:val="0"/>
      </w:pPr>
      <w:bookmarkStart w:id="5" w:name="bookmark4"/>
      <w:bookmarkEnd w:id="5"/>
      <w:bookmarkStart w:id="6" w:name="bookmark3"/>
      <w:bookmarkEnd w:id="6"/>
      <w:bookmarkStart w:id="7" w:name="_Toc28823"/>
      <w:r>
        <w:t>适用范围</w:t>
      </w:r>
      <w:bookmarkEnd w:id="7"/>
    </w:p>
    <w:p w14:paraId="059EA8DD">
      <w:pPr>
        <w:pStyle w:val="30"/>
        <w:bidi w:val="0"/>
      </w:pPr>
      <w:r>
        <w:t>适用于公司组织级服务目录的建立、监控、更新等全过程管理。</w:t>
      </w:r>
    </w:p>
    <w:p w14:paraId="63CF8DB9">
      <w:pPr>
        <w:pStyle w:val="29"/>
        <w:keepNext w:val="0"/>
        <w:keepLines w:val="0"/>
        <w:pageBreakBefore w:val="0"/>
        <w:widowControl w:val="0"/>
        <w:wordWrap/>
        <w:overflowPunct/>
        <w:topLinePunct w:val="0"/>
        <w:bidi w:val="0"/>
      </w:pPr>
      <w:bookmarkStart w:id="8" w:name="bookmark7"/>
      <w:bookmarkEnd w:id="8"/>
      <w:bookmarkStart w:id="9" w:name="bookmark6"/>
      <w:bookmarkEnd w:id="9"/>
      <w:bookmarkStart w:id="10" w:name="bookmark5"/>
      <w:bookmarkEnd w:id="10"/>
      <w:bookmarkStart w:id="11" w:name="bookmark8"/>
      <w:bookmarkEnd w:id="11"/>
      <w:bookmarkStart w:id="12" w:name="_Toc17937"/>
      <w:r>
        <w:t>职责</w:t>
      </w:r>
      <w:bookmarkEnd w:id="12"/>
    </w:p>
    <w:p w14:paraId="382F5311">
      <w:pPr>
        <w:pStyle w:val="31"/>
        <w:keepNext w:val="0"/>
        <w:keepLines w:val="0"/>
        <w:pageBreakBefore w:val="0"/>
        <w:widowControl w:val="0"/>
        <w:wordWrap/>
        <w:overflowPunct/>
        <w:topLinePunct w:val="0"/>
        <w:bidi w:val="0"/>
      </w:pPr>
      <w:bookmarkStart w:id="13" w:name="bookmark29"/>
      <w:bookmarkEnd w:id="13"/>
      <w:bookmarkStart w:id="14" w:name="_Toc15120"/>
      <w:r>
        <w:t>管理者代表</w:t>
      </w:r>
      <w:bookmarkEnd w:id="14"/>
    </w:p>
    <w:p w14:paraId="6A783C26">
      <w:pPr>
        <w:pStyle w:val="30"/>
        <w:bidi w:val="0"/>
      </w:pPr>
      <w:r>
        <w:t>负责服务目录的确定和定期评审，以保证对服务目录的正确性和完整性。</w:t>
      </w:r>
    </w:p>
    <w:p w14:paraId="603FB8DA">
      <w:pPr>
        <w:pStyle w:val="31"/>
        <w:keepNext w:val="0"/>
        <w:keepLines w:val="0"/>
        <w:pageBreakBefore w:val="0"/>
        <w:widowControl w:val="0"/>
        <w:wordWrap/>
        <w:overflowPunct/>
        <w:topLinePunct w:val="0"/>
        <w:bidi w:val="0"/>
        <w:rPr>
          <w:rFonts w:hint="eastAsia"/>
          <w:lang w:val="en-US" w:eastAsia="zh-CN"/>
        </w:rPr>
      </w:pPr>
      <w:bookmarkStart w:id="15" w:name="bookmark10"/>
      <w:bookmarkEnd w:id="15"/>
      <w:bookmarkStart w:id="16" w:name="bookmark9"/>
      <w:bookmarkEnd w:id="16"/>
      <w:bookmarkStart w:id="17" w:name="_Toc3842"/>
      <w:r>
        <w:rPr>
          <w:rFonts w:hint="eastAsia"/>
          <w:lang w:val="en-US" w:eastAsia="zh-CN"/>
        </w:rPr>
        <w:t>人力部</w:t>
      </w:r>
      <w:bookmarkEnd w:id="17"/>
    </w:p>
    <w:p w14:paraId="0D93C916">
      <w:pPr>
        <w:pStyle w:val="30"/>
        <w:bidi w:val="0"/>
      </w:pPr>
      <w:r>
        <w:t>负责满足服务目录实施要求的人员招聘及培训。</w:t>
      </w:r>
    </w:p>
    <w:p w14:paraId="3110FC98">
      <w:pPr>
        <w:pStyle w:val="31"/>
        <w:keepNext w:val="0"/>
        <w:keepLines w:val="0"/>
        <w:pageBreakBefore w:val="0"/>
        <w:widowControl w:val="0"/>
        <w:wordWrap/>
        <w:overflowPunct/>
        <w:topLinePunct w:val="0"/>
        <w:bidi w:val="0"/>
        <w:rPr>
          <w:rFonts w:hint="eastAsia"/>
          <w:lang w:val="en-US" w:eastAsia="zh-CN"/>
        </w:rPr>
      </w:pPr>
      <w:bookmarkStart w:id="18" w:name="bookmark12"/>
      <w:bookmarkEnd w:id="18"/>
      <w:bookmarkStart w:id="19" w:name="bookmark11"/>
      <w:bookmarkEnd w:id="19"/>
      <w:bookmarkStart w:id="20" w:name="_Toc206"/>
      <w:r>
        <w:rPr>
          <w:rFonts w:hint="eastAsia"/>
          <w:lang w:val="en-US" w:eastAsia="zh-CN"/>
        </w:rPr>
        <w:t>运维部</w:t>
      </w:r>
      <w:bookmarkEnd w:id="20"/>
    </w:p>
    <w:p w14:paraId="58629AD2">
      <w:pPr>
        <w:pStyle w:val="30"/>
        <w:bidi w:val="0"/>
      </w:pPr>
      <w:r>
        <w:t>负责调查了解用户服务需求；对运维业务的外部环境及发展状况提出意见、评审服务目录及对服务目录提出意见。负责参与服务目录的定期评审，以及不定期修订。</w:t>
      </w:r>
    </w:p>
    <w:p w14:paraId="05E15E95">
      <w:pPr>
        <w:pStyle w:val="29"/>
        <w:keepNext w:val="0"/>
        <w:keepLines w:val="0"/>
        <w:pageBreakBefore w:val="0"/>
        <w:widowControl w:val="0"/>
        <w:wordWrap/>
        <w:overflowPunct/>
        <w:topLinePunct w:val="0"/>
        <w:bidi w:val="0"/>
      </w:pPr>
      <w:bookmarkStart w:id="21" w:name="bookmark15"/>
      <w:bookmarkEnd w:id="21"/>
      <w:bookmarkStart w:id="22" w:name="bookmark16"/>
      <w:bookmarkEnd w:id="22"/>
      <w:bookmarkStart w:id="23" w:name="bookmark14"/>
      <w:bookmarkEnd w:id="23"/>
      <w:bookmarkStart w:id="24" w:name="bookmark13"/>
      <w:bookmarkEnd w:id="24"/>
      <w:bookmarkStart w:id="25" w:name="_Toc10089"/>
      <w:bookmarkStart w:id="26" w:name="_Toc3887"/>
      <w:r>
        <w:t>具体内容</w:t>
      </w:r>
      <w:bookmarkEnd w:id="25"/>
      <w:bookmarkEnd w:id="26"/>
    </w:p>
    <w:p w14:paraId="21E4F017">
      <w:pPr>
        <w:pStyle w:val="31"/>
        <w:keepNext w:val="0"/>
        <w:keepLines w:val="0"/>
        <w:pageBreakBefore w:val="0"/>
        <w:widowControl w:val="0"/>
        <w:wordWrap/>
        <w:overflowPunct/>
        <w:topLinePunct w:val="0"/>
        <w:bidi w:val="0"/>
      </w:pPr>
      <w:bookmarkStart w:id="27" w:name="bookmark30"/>
      <w:bookmarkEnd w:id="27"/>
      <w:bookmarkStart w:id="28" w:name="_Toc29356"/>
      <w:r>
        <w:t>建立服务目录</w:t>
      </w:r>
      <w:bookmarkEnd w:id="28"/>
    </w:p>
    <w:p w14:paraId="679838ED">
      <w:pPr>
        <w:pStyle w:val="30"/>
        <w:bidi w:val="0"/>
      </w:pPr>
      <w:r>
        <w:t>服务目录是公司提供服务依据的基础性文件,服务目录分为组织级和项目级服务目录：</w:t>
      </w:r>
    </w:p>
    <w:p w14:paraId="68A1637E">
      <w:pPr>
        <w:pStyle w:val="40"/>
        <w:numPr>
          <w:ilvl w:val="0"/>
          <w:numId w:val="2"/>
        </w:numPr>
        <w:bidi w:val="0"/>
      </w:pPr>
      <w:r>
        <w:t>组织级服务目录是针对公司可以提供的服务名称、服务内容、响应方式、服务频度、交付方式、交付成果等服务属性；</w:t>
      </w:r>
    </w:p>
    <w:p w14:paraId="21727D92">
      <w:pPr>
        <w:pStyle w:val="40"/>
        <w:numPr>
          <w:ilvl w:val="0"/>
          <w:numId w:val="2"/>
        </w:numPr>
        <w:bidi w:val="0"/>
      </w:pPr>
      <w:r>
        <w:t>项目级服务目录是基于公司服务目录，结合项目客户需求建立的一个针对特定客户或特定服务项目所建立的服务描述性文件。</w:t>
      </w:r>
    </w:p>
    <w:p w14:paraId="6F2348F3">
      <w:pPr>
        <w:pStyle w:val="30"/>
        <w:bidi w:val="0"/>
      </w:pPr>
      <w:r>
        <w:t>运维服务目录包括以下内容：</w:t>
      </w:r>
    </w:p>
    <w:p w14:paraId="7EE2ADAB">
      <w:pPr>
        <w:pStyle w:val="40"/>
        <w:numPr>
          <w:ilvl w:val="0"/>
          <w:numId w:val="3"/>
        </w:numPr>
        <w:bidi w:val="0"/>
        <w:ind w:left="425" w:leftChars="0" w:hanging="425" w:firstLineChars="0"/>
      </w:pPr>
      <w:r>
        <w:t>运维服务的分类。</w:t>
      </w:r>
    </w:p>
    <w:p w14:paraId="4EF35963">
      <w:pPr>
        <w:pStyle w:val="40"/>
        <w:numPr>
          <w:ilvl w:val="0"/>
          <w:numId w:val="3"/>
        </w:numPr>
        <w:bidi w:val="0"/>
        <w:ind w:left="425" w:leftChars="0" w:hanging="425" w:firstLineChars="0"/>
      </w:pPr>
      <w:r>
        <w:t>运维服务名称。</w:t>
      </w:r>
    </w:p>
    <w:p w14:paraId="29AF28D0">
      <w:pPr>
        <w:pStyle w:val="40"/>
        <w:numPr>
          <w:ilvl w:val="0"/>
          <w:numId w:val="3"/>
        </w:numPr>
        <w:bidi w:val="0"/>
        <w:ind w:left="425" w:leftChars="0" w:hanging="425" w:firstLineChars="0"/>
      </w:pPr>
      <w:r>
        <w:t>运维服务目标或标准（服务指标和质量标准）。</w:t>
      </w:r>
    </w:p>
    <w:p w14:paraId="1A4F9A25">
      <w:pPr>
        <w:pStyle w:val="40"/>
        <w:numPr>
          <w:ilvl w:val="0"/>
          <w:numId w:val="3"/>
        </w:numPr>
        <w:bidi w:val="0"/>
        <w:ind w:left="425" w:leftChars="0" w:hanging="425" w:firstLineChars="0"/>
      </w:pPr>
      <w:r>
        <w:t>运维服务提供时间。</w:t>
      </w:r>
    </w:p>
    <w:p w14:paraId="677D1A5B">
      <w:pPr>
        <w:pStyle w:val="40"/>
        <w:numPr>
          <w:ilvl w:val="0"/>
          <w:numId w:val="3"/>
        </w:numPr>
        <w:bidi w:val="0"/>
        <w:ind w:left="425" w:leftChars="0" w:hanging="425" w:firstLineChars="0"/>
      </w:pPr>
      <w:r>
        <w:t>交付内容和交付周期。</w:t>
      </w:r>
    </w:p>
    <w:p w14:paraId="6A3F665D">
      <w:pPr>
        <w:pStyle w:val="40"/>
        <w:numPr>
          <w:ilvl w:val="0"/>
          <w:numId w:val="3"/>
        </w:numPr>
        <w:bidi w:val="0"/>
        <w:ind w:left="425" w:leftChars="0" w:hanging="425" w:firstLineChars="0"/>
      </w:pPr>
      <w:r>
        <w:rPr>
          <w:rFonts w:hint="eastAsia"/>
          <w:lang w:val="en-US" w:eastAsia="zh-CN"/>
        </w:rPr>
        <w:t>服务内容、频次</w:t>
      </w:r>
    </w:p>
    <w:p w14:paraId="1E095090">
      <w:pPr>
        <w:pStyle w:val="40"/>
        <w:numPr>
          <w:ilvl w:val="0"/>
          <w:numId w:val="3"/>
        </w:numPr>
        <w:bidi w:val="0"/>
        <w:ind w:left="425" w:leftChars="0" w:hanging="425" w:firstLineChars="0"/>
      </w:pPr>
      <w:r>
        <w:rPr>
          <w:rFonts w:hint="eastAsia"/>
          <w:lang w:val="en-US" w:eastAsia="zh-CN"/>
        </w:rPr>
        <w:t>交付成果和响应时间</w:t>
      </w:r>
    </w:p>
    <w:p w14:paraId="0892ED3A">
      <w:pPr>
        <w:pStyle w:val="31"/>
        <w:keepNext w:val="0"/>
        <w:keepLines w:val="0"/>
        <w:pageBreakBefore w:val="0"/>
        <w:widowControl w:val="0"/>
        <w:wordWrap/>
        <w:overflowPunct/>
        <w:topLinePunct w:val="0"/>
        <w:bidi w:val="0"/>
      </w:pPr>
      <w:bookmarkStart w:id="29" w:name="bookmark17"/>
      <w:bookmarkEnd w:id="29"/>
      <w:bookmarkStart w:id="30" w:name="bookmark18"/>
      <w:bookmarkEnd w:id="30"/>
      <w:bookmarkStart w:id="31" w:name="_Toc11913"/>
      <w:r>
        <w:t>监控服务目录</w:t>
      </w:r>
      <w:bookmarkEnd w:id="31"/>
    </w:p>
    <w:p w14:paraId="476A2228">
      <w:pPr>
        <w:pStyle w:val="30"/>
        <w:bidi w:val="0"/>
      </w:pPr>
      <w:r>
        <w:t>公司管理层组织相关部门负责人每年至少一次对服务目录管理情况进行总结与评估，识别出相关的问题，提出改进建议。改进建议来源：</w:t>
      </w:r>
    </w:p>
    <w:p w14:paraId="297B20CB">
      <w:pPr>
        <w:pStyle w:val="40"/>
        <w:numPr>
          <w:ilvl w:val="0"/>
          <w:numId w:val="4"/>
        </w:numPr>
        <w:bidi w:val="0"/>
      </w:pPr>
      <w:r>
        <w:t>运维过程中</w:t>
      </w:r>
      <w:r>
        <w:rPr>
          <w:rFonts w:hint="eastAsia"/>
          <w:lang w:val="en-US" w:eastAsia="zh-CN"/>
        </w:rPr>
        <w:t>客户</w:t>
      </w:r>
      <w:r>
        <w:t>提出的超过服务目录范围的需求；</w:t>
      </w:r>
    </w:p>
    <w:p w14:paraId="6FB3765B">
      <w:pPr>
        <w:pStyle w:val="40"/>
        <w:numPr>
          <w:ilvl w:val="0"/>
          <w:numId w:val="4"/>
        </w:numPr>
        <w:bidi w:val="0"/>
      </w:pPr>
      <w:r>
        <w:t>市场服务需求的变化。</w:t>
      </w:r>
    </w:p>
    <w:p w14:paraId="492DBB3F">
      <w:pPr>
        <w:pStyle w:val="30"/>
        <w:bidi w:val="0"/>
      </w:pPr>
      <w:r>
        <w:t>同时，相关部门负责人应该定期收集各业务模块顾客提出的相关建议，分析运维过程中存在的问题，并向公司管理层、战略客户部提出改进建议。</w:t>
      </w:r>
    </w:p>
    <w:p w14:paraId="79431348">
      <w:pPr>
        <w:pStyle w:val="31"/>
        <w:keepNext w:val="0"/>
        <w:keepLines w:val="0"/>
        <w:pageBreakBefore w:val="0"/>
        <w:widowControl w:val="0"/>
        <w:wordWrap/>
        <w:overflowPunct/>
        <w:topLinePunct w:val="0"/>
        <w:bidi w:val="0"/>
      </w:pPr>
      <w:bookmarkStart w:id="32" w:name="bookmark19"/>
      <w:bookmarkEnd w:id="32"/>
      <w:bookmarkStart w:id="33" w:name="bookmark20"/>
      <w:bookmarkEnd w:id="33"/>
      <w:bookmarkStart w:id="34" w:name="_Toc20839"/>
      <w:r>
        <w:t>定期评审</w:t>
      </w:r>
      <w:bookmarkEnd w:id="34"/>
    </w:p>
    <w:p w14:paraId="49899812">
      <w:pPr>
        <w:pStyle w:val="30"/>
        <w:bidi w:val="0"/>
      </w:pPr>
      <w:r>
        <w:t>运维部</w:t>
      </w:r>
      <w:r>
        <w:rPr>
          <w:rFonts w:hint="eastAsia"/>
          <w:lang w:val="en-US" w:eastAsia="zh-CN"/>
        </w:rPr>
        <w:t>经理</w:t>
      </w:r>
      <w:r>
        <w:t>组织对现有服务目录的评审，评审结果及后续改进意见应保留，对于评审中发现的服务目录</w:t>
      </w:r>
      <w:r>
        <w:rPr>
          <w:rFonts w:hint="eastAsia"/>
          <w:lang w:val="en-US" w:eastAsia="zh-CN"/>
        </w:rPr>
        <w:t>中</w:t>
      </w:r>
      <w:r>
        <w:t>存在</w:t>
      </w:r>
      <w:r>
        <w:rPr>
          <w:rFonts w:hint="eastAsia"/>
          <w:lang w:val="en-US" w:eastAsia="zh-CN"/>
        </w:rPr>
        <w:t>的</w:t>
      </w:r>
      <w:r>
        <w:t>问题，指定专人进行修订和改进。</w:t>
      </w:r>
    </w:p>
    <w:p w14:paraId="552BD575">
      <w:pPr>
        <w:pStyle w:val="30"/>
        <w:bidi w:val="0"/>
      </w:pPr>
      <w:r>
        <w:t>运维服务目录的评审应当对服务市场前景、公司3-5年业务发展规划、既往1-3年运维情况进行分析，并根据分析结果，确定是否对服务目录进行修订。</w:t>
      </w:r>
    </w:p>
    <w:p w14:paraId="5E51502F">
      <w:pPr>
        <w:pStyle w:val="31"/>
        <w:keepNext w:val="0"/>
        <w:keepLines w:val="0"/>
        <w:pageBreakBefore w:val="0"/>
        <w:widowControl w:val="0"/>
        <w:wordWrap/>
        <w:overflowPunct/>
        <w:topLinePunct w:val="0"/>
        <w:bidi w:val="0"/>
      </w:pPr>
      <w:bookmarkStart w:id="35" w:name="bookmark21"/>
      <w:bookmarkEnd w:id="35"/>
      <w:bookmarkStart w:id="36" w:name="bookmark22"/>
      <w:bookmarkEnd w:id="36"/>
      <w:bookmarkStart w:id="37" w:name="_Toc2332"/>
      <w:r>
        <w:t>修订和验证</w:t>
      </w:r>
      <w:bookmarkEnd w:id="37"/>
    </w:p>
    <w:p w14:paraId="56FB18FF">
      <w:pPr>
        <w:pStyle w:val="30"/>
        <w:bidi w:val="0"/>
      </w:pPr>
      <w:r>
        <w:t>如需对运维服务目录进行修订，则由运维部进行运维服务目录的修订工作。</w:t>
      </w:r>
    </w:p>
    <w:p w14:paraId="579D1B8C">
      <w:pPr>
        <w:pStyle w:val="30"/>
        <w:bidi w:val="0"/>
      </w:pPr>
      <w:r>
        <w:t>在运维服务过程中，若发现现有运维服务目录不适合时，运维部应对运维服务目录进行修订。</w:t>
      </w:r>
    </w:p>
    <w:p w14:paraId="74693393">
      <w:pPr>
        <w:pStyle w:val="30"/>
        <w:bidi w:val="0"/>
      </w:pPr>
      <w:r>
        <w:t>运维服务目录评审会议决定修订服务目录时，由运维部组织进行服务目录修订工作。</w:t>
      </w:r>
    </w:p>
    <w:p w14:paraId="3B543E26">
      <w:pPr>
        <w:pStyle w:val="30"/>
        <w:bidi w:val="0"/>
      </w:pPr>
      <w:r>
        <w:t>由运行维护服务相关部门组织人员、过程、技术等相关资源进行验证，以确保修订内容能够满足市场和客户需求。</w:t>
      </w:r>
    </w:p>
    <w:p w14:paraId="2A13F359">
      <w:pPr>
        <w:pStyle w:val="30"/>
        <w:bidi w:val="0"/>
      </w:pPr>
      <w:r>
        <w:t>修订后的运维服务目录，应遵循以下评审流程：由运维部负责组织，召开由公司管理者代表主持，</w:t>
      </w:r>
      <w:r>
        <w:rPr>
          <w:rFonts w:hint="eastAsia"/>
          <w:lang w:val="en-US" w:eastAsia="zh-CN"/>
        </w:rPr>
        <w:t>运维部</w:t>
      </w:r>
      <w:r>
        <w:t>、</w:t>
      </w:r>
      <w:r>
        <w:rPr>
          <w:rFonts w:hint="eastAsia"/>
          <w:lang w:val="en-US" w:eastAsia="zh-CN"/>
        </w:rPr>
        <w:t>人力部</w:t>
      </w:r>
      <w:r>
        <w:t>、</w:t>
      </w:r>
      <w:r>
        <w:rPr>
          <w:rFonts w:hint="eastAsia"/>
          <w:lang w:val="en-US" w:eastAsia="zh-CN"/>
        </w:rPr>
        <w:t>研发部、采购部和质量部</w:t>
      </w:r>
      <w:r>
        <w:t>等相关部门负责人共同参与的评审会议。</w:t>
      </w:r>
    </w:p>
    <w:p w14:paraId="0EF81B36">
      <w:pPr>
        <w:pStyle w:val="31"/>
        <w:keepNext w:val="0"/>
        <w:keepLines w:val="0"/>
        <w:pageBreakBefore w:val="0"/>
        <w:widowControl w:val="0"/>
        <w:wordWrap/>
        <w:overflowPunct/>
        <w:topLinePunct w:val="0"/>
        <w:bidi w:val="0"/>
      </w:pPr>
      <w:bookmarkStart w:id="38" w:name="bookmark24"/>
      <w:bookmarkEnd w:id="38"/>
      <w:bookmarkStart w:id="39" w:name="bookmark23"/>
      <w:bookmarkEnd w:id="39"/>
      <w:bookmarkStart w:id="40" w:name="_Toc22012"/>
      <w:r>
        <w:t>服务目录的发布</w:t>
      </w:r>
      <w:bookmarkEnd w:id="40"/>
    </w:p>
    <w:p w14:paraId="374057B1">
      <w:pPr>
        <w:pStyle w:val="30"/>
        <w:bidi w:val="0"/>
      </w:pPr>
      <w:r>
        <w:t>运维服务目录修订内容验证符合预期目标和要求后，由运维部提交公司管理者代表审批后发布。</w:t>
      </w:r>
    </w:p>
    <w:p w14:paraId="3D32FDAF">
      <w:pPr>
        <w:pStyle w:val="30"/>
        <w:bidi w:val="0"/>
      </w:pPr>
      <w:r>
        <w:t>运维服务目录向运维服务相关部门、公司管理人员发布，并提交质量部</w:t>
      </w:r>
      <w:bookmarkStart w:id="41" w:name="bookmark25"/>
      <w:bookmarkEnd w:id="41"/>
      <w:bookmarkStart w:id="42" w:name="bookmark26"/>
      <w:bookmarkEnd w:id="42"/>
      <w:r>
        <w:t>归档保存。</w:t>
      </w:r>
    </w:p>
    <w:p w14:paraId="1802CF2E">
      <w:pPr>
        <w:pStyle w:val="31"/>
        <w:bidi w:val="0"/>
      </w:pPr>
      <w:bookmarkStart w:id="43" w:name="bookmark33"/>
      <w:bookmarkEnd w:id="43"/>
      <w:r>
        <w:t xml:space="preserve"> </w:t>
      </w:r>
      <w:bookmarkStart w:id="44" w:name="_Toc21649"/>
      <w:r>
        <w:t>服务目录的使用</w:t>
      </w:r>
      <w:bookmarkEnd w:id="44"/>
    </w:p>
    <w:p w14:paraId="2496A403">
      <w:pPr>
        <w:pStyle w:val="30"/>
        <w:bidi w:val="0"/>
      </w:pPr>
      <w:r>
        <w:t>运维服务目录是与客户的商务谈判和合同签订的依据。</w:t>
      </w:r>
    </w:p>
    <w:p w14:paraId="457EF091">
      <w:pPr>
        <w:pStyle w:val="30"/>
        <w:bidi w:val="0"/>
      </w:pPr>
      <w:r>
        <w:t>运维服务目录用于</w:t>
      </w:r>
      <w:r>
        <w:rPr>
          <w:rFonts w:hint="eastAsia"/>
          <w:lang w:val="en-US" w:eastAsia="zh-CN"/>
        </w:rPr>
        <w:t>质量部</w:t>
      </w:r>
      <w:r>
        <w:t>监督和执行服务执行过程中质量保障的参照依据。</w:t>
      </w:r>
    </w:p>
    <w:p w14:paraId="3052021B">
      <w:pPr>
        <w:pStyle w:val="30"/>
        <w:bidi w:val="0"/>
      </w:pPr>
      <w:r>
        <w:t>任何人员在使用运维服务目录过程中不得随意修改、曲解运维服务目录既定内容、要求、指标等全部内容。</w:t>
      </w:r>
    </w:p>
    <w:p w14:paraId="11D91036">
      <w:pPr>
        <w:pStyle w:val="31"/>
        <w:bidi w:val="0"/>
        <w:rPr>
          <w:rFonts w:hint="eastAsia"/>
          <w:lang w:val="en-US" w:eastAsia="zh-CN"/>
        </w:rPr>
      </w:pPr>
      <w:bookmarkStart w:id="45" w:name="_Toc9636"/>
      <w:r>
        <w:rPr>
          <w:rFonts w:hint="eastAsia"/>
          <w:lang w:val="en-US" w:eastAsia="zh-CN"/>
        </w:rPr>
        <w:t>服务目录的持续改进</w:t>
      </w:r>
      <w:bookmarkEnd w:id="45"/>
    </w:p>
    <w:p w14:paraId="2842A1C2">
      <w:pPr>
        <w:pStyle w:val="30"/>
        <w:bidi w:val="0"/>
      </w:pPr>
      <w:r>
        <w:t>为确保服务目录持续契合公司战略、市场需求与客户期望，公司建立了常态化的服务目录持续改进机制。该机制系统性地收集来自客户反馈、运维运营数据、市场技术趋势、内部执行反馈以及各类评审审计结果等多渠道的改进输入。所有改进建议由运维部统一归口管理，通过记录、初步分析、跨部门联合评估等流程进行筛选与立项，最终纳入正式的修订计划。公司倡导全员参与改进的文化，明确运维部的管理职责，并对每项建议的处理结果进行闭环反馈，从而推动服务目录从静态文件向动态演进的服务能力蓝图持续转化</w:t>
      </w:r>
    </w:p>
    <w:p w14:paraId="3938AE6D">
      <w:pPr>
        <w:pStyle w:val="29"/>
        <w:bidi w:val="0"/>
        <w:rPr>
          <w:rFonts w:hint="default"/>
          <w:lang w:val="en-US" w:eastAsia="zh-CN"/>
        </w:rPr>
      </w:pPr>
      <w:bookmarkStart w:id="46" w:name="_Toc5795"/>
      <w:r>
        <w:rPr>
          <w:rFonts w:hint="eastAsia"/>
          <w:lang w:val="en-US" w:eastAsia="zh-CN"/>
        </w:rPr>
        <w:t>服务目录与其他流程的关系</w:t>
      </w:r>
      <w:bookmarkEnd w:id="46"/>
    </w:p>
    <w:p w14:paraId="5B52FE0B">
      <w:pPr>
        <w:pStyle w:val="30"/>
        <w:bidi w:val="0"/>
        <w:rPr>
          <w:rFonts w:hint="eastAsia"/>
          <w:lang w:val="en-US" w:eastAsia="zh-CN"/>
        </w:rPr>
      </w:pPr>
      <w:r>
        <w:rPr>
          <w:rFonts w:hint="eastAsia"/>
          <w:lang w:val="en-US" w:eastAsia="zh-CN"/>
        </w:rPr>
        <w:t>服务目录管理与服务级别管理的关系如下图：</w:t>
      </w:r>
    </w:p>
    <w:p w14:paraId="3F0BE5AA">
      <w:pPr>
        <w:ind w:firstLine="420"/>
        <w:rPr>
          <w:rFonts w:ascii="宋体" w:hAnsi="宋体"/>
          <w:sz w:val="28"/>
          <w:szCs w:val="28"/>
        </w:rPr>
      </w:pPr>
      <w:r>
        <w:rPr>
          <w:rFonts w:ascii="宋体" w:hAnsi="宋体"/>
          <w:sz w:val="28"/>
          <w:szCs w:val="28"/>
        </w:rPr>
        <w:object>
          <v:shape id="_x0000_i1025" o:spt="75" type="#_x0000_t75" style="height:220.05pt;width:335.2pt;" o:ole="t" filled="f" o:preferrelative="t" stroked="f" coordsize="21600,21600">
            <v:path/>
            <v:fill on="f" focussize="0,0"/>
            <v:stroke on="f" joinstyle="miter"/>
            <v:imagedata r:id="rId8" croptop="8151f" o:title=""/>
            <o:lock v:ext="edit" aspectratio="t"/>
            <w10:wrap type="none"/>
            <w10:anchorlock/>
          </v:shape>
          <o:OLEObject Type="Embed" ProgID="Visio.Drawing.11" ShapeID="_x0000_i1025" DrawAspect="Content" ObjectID="_1468075725" r:id="rId7">
            <o:LockedField>false</o:LockedField>
          </o:OLEObject>
        </w:object>
      </w:r>
    </w:p>
    <w:p w14:paraId="0D921C9E">
      <w:pPr>
        <w:pStyle w:val="30"/>
        <w:bidi w:val="0"/>
        <w:rPr>
          <w:rFonts w:hint="eastAsia"/>
          <w:lang w:val="en-US" w:eastAsia="zh-CN"/>
        </w:rPr>
      </w:pPr>
      <w:r>
        <w:rPr>
          <w:rFonts w:hint="eastAsia"/>
          <w:lang w:val="en-US" w:eastAsia="zh-CN"/>
        </w:rPr>
        <w:t>服务级别管理需要使用服务目录管理的成果-服务目录，来编制每个项目的SLA。服务目录管理则需要参照服务级别管理的执行情况，来分析运维业务的发展变化，并用来更新公司运维服务目录，以适应用户需求的不断变化。</w:t>
      </w:r>
    </w:p>
    <w:p w14:paraId="304059E5">
      <w:pPr>
        <w:pStyle w:val="29"/>
        <w:keepNext w:val="0"/>
        <w:keepLines w:val="0"/>
        <w:pageBreakBefore w:val="0"/>
        <w:widowControl w:val="0"/>
        <w:wordWrap/>
        <w:overflowPunct/>
        <w:topLinePunct w:val="0"/>
        <w:bidi w:val="0"/>
      </w:pPr>
      <w:bookmarkStart w:id="47" w:name="bookmark27"/>
      <w:bookmarkEnd w:id="47"/>
      <w:bookmarkStart w:id="48" w:name="bookmark28"/>
      <w:bookmarkEnd w:id="48"/>
      <w:bookmarkStart w:id="49" w:name="_Toc30449"/>
      <w:r>
        <w:rPr>
          <w:rFonts w:hint="eastAsia"/>
          <w:lang w:val="en-US" w:eastAsia="zh-CN"/>
        </w:rPr>
        <w:t>附则</w:t>
      </w:r>
      <w:bookmarkEnd w:id="49"/>
    </w:p>
    <w:p w14:paraId="486F477E">
      <w:pPr>
        <w:pStyle w:val="30"/>
        <w:keepNext w:val="0"/>
        <w:keepLines w:val="0"/>
        <w:pageBreakBefore w:val="0"/>
        <w:widowControl w:val="0"/>
        <w:wordWrap/>
        <w:overflowPunct/>
        <w:topLinePunct w:val="0"/>
        <w:bidi w:val="0"/>
        <w:rPr>
          <w:rFonts w:hint="eastAsia"/>
          <w:lang w:val="en-US" w:eastAsia="zh-CN"/>
        </w:rPr>
      </w:pPr>
      <w:r>
        <w:rPr>
          <w:rFonts w:hint="eastAsia"/>
          <w:lang w:val="en-US" w:eastAsia="zh-CN"/>
        </w:rPr>
        <w:t>本制度最后解释权和修订权归运维部所有。</w:t>
      </w:r>
    </w:p>
    <w:p w14:paraId="4D3E16F8">
      <w:pPr>
        <w:pStyle w:val="30"/>
        <w:keepNext w:val="0"/>
        <w:keepLines w:val="0"/>
        <w:pageBreakBefore w:val="0"/>
        <w:widowControl w:val="0"/>
        <w:wordWrap/>
        <w:overflowPunct/>
        <w:topLinePunct w:val="0"/>
        <w:bidi w:val="0"/>
        <w:rPr>
          <w:rFonts w:hint="default"/>
          <w:lang w:val="en-US" w:eastAsia="zh-CN"/>
        </w:rPr>
      </w:pPr>
      <w:r>
        <w:rPr>
          <w:rFonts w:hint="eastAsia"/>
          <w:lang w:val="en-US" w:eastAsia="zh-CN"/>
        </w:rPr>
        <w:t>本制度自发布之日起实施执行。</w:t>
      </w:r>
    </w:p>
    <w:p w14:paraId="7BE54F1A">
      <w:pPr>
        <w:pStyle w:val="29"/>
        <w:keepNext w:val="0"/>
        <w:keepLines w:val="0"/>
        <w:pageBreakBefore w:val="0"/>
        <w:widowControl w:val="0"/>
        <w:wordWrap/>
        <w:overflowPunct/>
        <w:topLinePunct w:val="0"/>
        <w:bidi w:val="0"/>
      </w:pPr>
      <w:bookmarkStart w:id="50" w:name="_Toc23640"/>
      <w:r>
        <w:rPr>
          <w:rFonts w:hint="eastAsia"/>
          <w:lang w:val="en-US" w:eastAsia="zh-CN"/>
        </w:rPr>
        <w:t>附件</w:t>
      </w:r>
      <w:bookmarkEnd w:id="50"/>
    </w:p>
    <w:p w14:paraId="05D6A548">
      <w:pPr>
        <w:pStyle w:val="30"/>
        <w:keepNext w:val="0"/>
        <w:keepLines w:val="0"/>
        <w:pageBreakBefore w:val="0"/>
        <w:widowControl w:val="0"/>
        <w:wordWrap/>
        <w:overflowPunct/>
        <w:topLinePunct w:val="0"/>
        <w:bidi w:val="0"/>
        <w:rPr>
          <w:rFonts w:hint="default"/>
          <w:lang w:val="en-US"/>
        </w:rPr>
      </w:pPr>
      <w:r>
        <w:rPr>
          <w:rFonts w:hint="eastAsia"/>
          <w:lang w:val="en-US" w:eastAsia="zh-CN"/>
        </w:rPr>
        <w:t>无</w:t>
      </w:r>
    </w:p>
    <w:p w14:paraId="6BD2509D">
      <w:pPr>
        <w:pStyle w:val="29"/>
        <w:keepNext w:val="0"/>
        <w:keepLines w:val="0"/>
        <w:pageBreakBefore w:val="0"/>
        <w:widowControl w:val="0"/>
        <w:wordWrap/>
        <w:overflowPunct/>
        <w:topLinePunct w:val="0"/>
        <w:bidi w:val="0"/>
      </w:pPr>
      <w:bookmarkStart w:id="51" w:name="_Toc30878"/>
      <w:r>
        <w:t>相关记录</w:t>
      </w:r>
      <w:bookmarkEnd w:id="51"/>
    </w:p>
    <w:p w14:paraId="0D460290">
      <w:pPr>
        <w:pStyle w:val="40"/>
        <w:keepNext w:val="0"/>
        <w:keepLines w:val="0"/>
        <w:pageBreakBefore w:val="0"/>
        <w:widowControl w:val="0"/>
        <w:wordWrap/>
        <w:overflowPunct/>
        <w:topLinePunct w:val="0"/>
        <w:bidi w:val="0"/>
      </w:pPr>
      <w: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3AEC9">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336D2E6"/>
    <w:multiLevelType w:val="singleLevel"/>
    <w:tmpl w:val="3336D2E6"/>
    <w:lvl w:ilvl="0" w:tentative="0">
      <w:start w:val="1"/>
      <w:numFmt w:val="decimal"/>
      <w:lvlText w:val="%1."/>
      <w:lvlJc w:val="left"/>
      <w:pPr>
        <w:ind w:left="425" w:hanging="425"/>
      </w:pPr>
      <w:rPr>
        <w:rFonts w:hint="default"/>
      </w:rPr>
    </w:lvl>
  </w:abstractNum>
  <w:abstractNum w:abstractNumId="2">
    <w:nsid w:val="3672D2BC"/>
    <w:multiLevelType w:val="singleLevel"/>
    <w:tmpl w:val="3672D2BC"/>
    <w:lvl w:ilvl="0" w:tentative="0">
      <w:start w:val="1"/>
      <w:numFmt w:val="decimal"/>
      <w:lvlText w:val="%1."/>
      <w:lvlJc w:val="left"/>
      <w:pPr>
        <w:ind w:left="425" w:hanging="425"/>
      </w:pPr>
      <w:rPr>
        <w:rFonts w:hint="default"/>
      </w:rPr>
    </w:lvl>
  </w:abstractNum>
  <w:abstractNum w:abstractNumId="3">
    <w:nsid w:val="7F346731"/>
    <w:multiLevelType w:val="singleLevel"/>
    <w:tmpl w:val="7F346731"/>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8912B7"/>
    <w:rsid w:val="105A47CC"/>
    <w:rsid w:val="13503262"/>
    <w:rsid w:val="16615DD0"/>
    <w:rsid w:val="19127B40"/>
    <w:rsid w:val="19CE0BA1"/>
    <w:rsid w:val="322941B2"/>
    <w:rsid w:val="38C76F22"/>
    <w:rsid w:val="3F37192F"/>
    <w:rsid w:val="53A9454A"/>
    <w:rsid w:val="58296882"/>
    <w:rsid w:val="7EDD1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1988</Words>
  <Characters>2081</Characters>
  <Lines>0</Lines>
  <Paragraphs>0</Paragraphs>
  <TotalTime>1</TotalTime>
  <ScaleCrop>false</ScaleCrop>
  <LinksUpToDate>false</LinksUpToDate>
  <CharactersWithSpaces>2164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2026-05-07T15:54:44Z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CDE73F44C53C4EBB8E1AD6244F5C19E4_11</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