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E04A0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10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2-05</w:t>
      </w:r>
    </w:p>
    <w:p w14:paraId="31F30DBB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3E51D042">
      <w:pPr>
        <w:pStyle w:val="24"/>
        <w:widowControl w:val="0"/>
        <w:spacing w:after="1872"/>
        <w:rPr>
          <w:lang w:eastAsia="zh-CN"/>
        </w:rPr>
      </w:pPr>
      <w:bookmarkStart w:id="0" w:name="_Toc20834"/>
      <w:bookmarkStart w:id="1" w:name="_Toc8156"/>
      <w:r>
        <w:rPr>
          <w:lang w:eastAsia="zh-CN"/>
        </w:rPr>
        <w:t>天津通海信息技术有限公司</w:t>
      </w:r>
      <w:bookmarkEnd w:id="0"/>
      <w:bookmarkEnd w:id="1"/>
    </w:p>
    <w:p w14:paraId="5F8BCD09">
      <w:pPr>
        <w:pStyle w:val="25"/>
        <w:widowControl w:val="0"/>
        <w:spacing w:after="2808"/>
        <w:rPr>
          <w:rFonts w:hint="eastAsia"/>
          <w:lang w:eastAsia="zh-CN"/>
        </w:rPr>
      </w:pPr>
      <w:bookmarkStart w:id="2" w:name="_Toc20245"/>
      <w:bookmarkStart w:id="3" w:name="_Toc5823"/>
      <w:r>
        <w:rPr>
          <w:rFonts w:hint="eastAsia"/>
          <w:lang w:eastAsia="zh-CN"/>
        </w:rPr>
        <w:t>天津港引航中心引航信息系统及设备维护项目-</w:t>
      </w:r>
      <w:bookmarkEnd w:id="2"/>
      <w:r>
        <w:rPr>
          <w:rFonts w:hint="eastAsia"/>
          <w:lang w:eastAsia="zh-CN"/>
        </w:rPr>
        <w:t>应急演练记录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23F9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CC79AA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耿宁</w:t>
            </w:r>
          </w:p>
        </w:tc>
        <w:tc>
          <w:tcPr>
            <w:tcW w:w="4261" w:type="dxa"/>
          </w:tcPr>
          <w:p w14:paraId="2D73ECF1">
            <w:pPr>
              <w:widowControl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10B86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38190EF8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常海霞</w:t>
            </w:r>
          </w:p>
        </w:tc>
        <w:tc>
          <w:tcPr>
            <w:tcW w:w="4261" w:type="dxa"/>
          </w:tcPr>
          <w:p w14:paraId="7CCD56F7">
            <w:pPr>
              <w:widowControl w:val="0"/>
              <w:jc w:val="both"/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  <w:tr w14:paraId="5F52F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4E657EB8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尹兆铮</w:t>
            </w:r>
          </w:p>
        </w:tc>
        <w:tc>
          <w:tcPr>
            <w:tcW w:w="4261" w:type="dxa"/>
          </w:tcPr>
          <w:p w14:paraId="74EFF7A0">
            <w:pPr>
              <w:widowControl w:val="0"/>
              <w:jc w:val="both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hint="eastAsia" w:asciiTheme="minorHAnsi" w:hAnsiTheme="minorHAnsi" w:eastAsiaTheme="minorEastAsia"/>
                <w:spacing w:val="227"/>
                <w:lang w:eastAsia="zh-CN"/>
              </w:rPr>
              <w:t>:</w:t>
            </w:r>
            <w:r>
              <w:rPr>
                <w:rFonts w:hint="eastAsia"/>
                <w:u w:val="single"/>
                <w:lang w:eastAsia="zh-CN"/>
              </w:rPr>
              <w:t>202</w:t>
            </w:r>
            <w:r>
              <w:rPr>
                <w:rFonts w:hint="eastAsia"/>
                <w:u w:val="single"/>
                <w:lang w:val="en-US" w:eastAsia="zh-CN"/>
              </w:rPr>
              <w:t>6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4</w:t>
            </w:r>
            <w:r>
              <w:rPr>
                <w:rFonts w:hint="eastAsia"/>
                <w:u w:val="single"/>
                <w:lang w:eastAsia="zh-CN"/>
              </w:rPr>
              <w:t>.</w:t>
            </w:r>
            <w:r>
              <w:rPr>
                <w:rFonts w:hint="eastAsia"/>
                <w:u w:val="single"/>
                <w:lang w:val="en-US" w:eastAsia="zh-CN"/>
              </w:rPr>
              <w:t>8</w:t>
            </w:r>
          </w:p>
        </w:tc>
      </w:tr>
    </w:tbl>
    <w:p w14:paraId="531EE678">
      <w:pPr>
        <w:widowControl w:val="0"/>
      </w:pPr>
      <w:r>
        <w:br w:type="page"/>
      </w:r>
    </w:p>
    <w:p w14:paraId="0C62D5D5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35BC4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8CA9761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5ABFFA63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81FEE05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D1B301F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262F4D8B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3306926B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AB2489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2B64C33">
            <w:pPr>
              <w:widowControl w:val="0"/>
              <w:spacing w:before="173" w:line="267" w:lineRule="exact"/>
              <w:ind w:left="26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919" w:type="dxa"/>
          </w:tcPr>
          <w:p w14:paraId="38A41FE9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AC643DB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CC306E3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耿宁</w:t>
            </w:r>
          </w:p>
        </w:tc>
        <w:tc>
          <w:tcPr>
            <w:tcW w:w="1150" w:type="dxa"/>
          </w:tcPr>
          <w:p w14:paraId="3367C0D1">
            <w:pPr>
              <w:spacing w:before="172" w:line="228" w:lineRule="auto"/>
              <w:ind w:left="313" w:leftChars="0"/>
              <w:rPr>
                <w:rFonts w:hint="eastAsia" w:ascii="宋体" w:hAnsi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常海霞</w:t>
            </w:r>
          </w:p>
        </w:tc>
        <w:tc>
          <w:tcPr>
            <w:tcW w:w="1240" w:type="dxa"/>
          </w:tcPr>
          <w:p w14:paraId="1328262E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尹兆铮</w:t>
            </w:r>
          </w:p>
        </w:tc>
      </w:tr>
      <w:tr w14:paraId="0EF726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C45813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092F537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57545DA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2902138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70B4147">
            <w:pPr>
              <w:widowControl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1D83DF71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32868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CD66F1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3D9FF16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33B9973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2F3B4757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738F4A6C">
            <w:pPr>
              <w:widowControl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56FC25AB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33315F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98EA08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58CF548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A210B8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1A6D3E8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0225EFB0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60CDA7F6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5AA70B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E142F8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77562644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2DAA219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52FA6E9F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79CDC59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02579CBE">
            <w:pPr>
              <w:pStyle w:val="27"/>
              <w:widowControl w:val="0"/>
              <w:rPr>
                <w:rFonts w:hint="eastAsia"/>
              </w:rPr>
            </w:pPr>
          </w:p>
        </w:tc>
      </w:tr>
      <w:tr w14:paraId="4B5B75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A72F87D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919" w:type="dxa"/>
          </w:tcPr>
          <w:p w14:paraId="17E34678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2289" w:type="dxa"/>
          </w:tcPr>
          <w:p w14:paraId="308DEE0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48" w:type="dxa"/>
          </w:tcPr>
          <w:p w14:paraId="432BD4C5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150" w:type="dxa"/>
          </w:tcPr>
          <w:p w14:paraId="534ABB02">
            <w:pPr>
              <w:pStyle w:val="27"/>
              <w:widowControl w:val="0"/>
              <w:rPr>
                <w:rFonts w:hint="eastAsia"/>
              </w:rPr>
            </w:pPr>
          </w:p>
        </w:tc>
        <w:tc>
          <w:tcPr>
            <w:tcW w:w="1240" w:type="dxa"/>
          </w:tcPr>
          <w:p w14:paraId="7CDC8BAC">
            <w:pPr>
              <w:pStyle w:val="27"/>
              <w:widowControl w:val="0"/>
              <w:rPr>
                <w:rFonts w:hint="eastAsia"/>
              </w:rPr>
            </w:pPr>
          </w:p>
        </w:tc>
      </w:tr>
    </w:tbl>
    <w:p w14:paraId="7C6CAADE">
      <w:pPr>
        <w:widowControl w:val="0"/>
      </w:pPr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7ADFD5BB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0305E465">
          <w:pPr>
            <w:widowControl w:val="0"/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</w:p>
        <w:p w14:paraId="5C71AE3E">
          <w:pPr>
            <w:pStyle w:val="16"/>
            <w:tabs>
              <w:tab w:val="right" w:leader="dot" w:pos="8306"/>
            </w:tabs>
          </w:pPr>
          <w:bookmarkStart w:id="16" w:name="_GoBack"/>
          <w:bookmarkEnd w:id="16"/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天津通海信息技术有限公司</w:t>
          </w:r>
          <w:r>
            <w:tab/>
          </w:r>
          <w:r>
            <w:fldChar w:fldCharType="begin"/>
          </w:r>
          <w:r>
            <w:instrText xml:space="preserve"> PAGEREF _Toc8156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E9778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_Toc5823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lang w:eastAsia="zh-CN"/>
            </w:rPr>
            <w:t>天津港引航中心引航信息系统及设备维护项目-应急演练记录</w:t>
          </w:r>
          <w:r>
            <w:tab/>
          </w:r>
          <w:r>
            <w:fldChar w:fldCharType="begin"/>
          </w:r>
          <w:r>
            <w:instrText xml:space="preserve"> PAGEREF _Toc5823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8766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_Toc5581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演练基本信息</w:t>
          </w:r>
          <w:r>
            <w:tab/>
          </w:r>
          <w:r>
            <w:fldChar w:fldCharType="begin"/>
          </w:r>
          <w:r>
            <w:instrText xml:space="preserve"> PAGEREF _Toc5581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69D3A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_Toc24495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演练过程实录</w:t>
          </w:r>
          <w:r>
            <w:tab/>
          </w:r>
          <w:r>
            <w:fldChar w:fldCharType="begin"/>
          </w:r>
          <w:r>
            <w:instrText xml:space="preserve"> PAGEREF _Toc24495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D8B7F1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_Toc5717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资源使用与保障情况实录</w:t>
          </w:r>
          <w:r>
            <w:tab/>
          </w:r>
          <w:r>
            <w:fldChar w:fldCharType="begin"/>
          </w:r>
          <w:r>
            <w:instrText xml:space="preserve"> PAGEREF _Toc5717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1B228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_Toc14636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问题与改进</w:t>
          </w:r>
          <w:r>
            <w:tab/>
          </w:r>
          <w:r>
            <w:fldChar w:fldCharType="begin"/>
          </w:r>
          <w:r>
            <w:instrText xml:space="preserve"> PAGEREF _Toc14636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F191B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_Toc12605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t>问题1：AIS接口服务监控告警未及时触发</w:t>
          </w:r>
          <w:r>
            <w:tab/>
          </w:r>
          <w:r>
            <w:fldChar w:fldCharType="begin"/>
          </w:r>
          <w:r>
            <w:instrText xml:space="preserve"> PAGEREF _Toc12605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CF0BB4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_Toc18551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t>问题2：AIS接口故障处置流程未录入知识库</w:t>
          </w:r>
          <w:r>
            <w:tab/>
          </w:r>
          <w:r>
            <w:fldChar w:fldCharType="begin"/>
          </w:r>
          <w:r>
            <w:instrText xml:space="preserve"> PAGEREF _Toc18551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050B64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_Toc24821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t>问题3：AIS接口备件未纳入备件库</w:t>
          </w:r>
          <w:r>
            <w:tab/>
          </w:r>
          <w:r>
            <w:fldChar w:fldCharType="begin"/>
          </w:r>
          <w:r>
            <w:instrText xml:space="preserve"> PAGEREF _Toc24821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7B6E3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_Toc10156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t>问题4：故障交接流程可进一步标准化</w:t>
          </w:r>
          <w:r>
            <w:tab/>
          </w:r>
          <w:r>
            <w:fldChar w:fldCharType="begin"/>
          </w:r>
          <w:r>
            <w:instrText xml:space="preserve"> PAGEREF _Toc10156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3243F53">
          <w:pPr>
            <w:widowControl w:val="0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5B22F15B">
      <w:pPr>
        <w:widowControl w:val="0"/>
        <w:rPr>
          <w:rFonts w:eastAsia="Arial"/>
        </w:rPr>
      </w:pPr>
      <w:r>
        <w:rPr>
          <w:rFonts w:eastAsia="Arial"/>
        </w:rPr>
        <w:br w:type="page"/>
      </w:r>
    </w:p>
    <w:p w14:paraId="64C123CF">
      <w:pPr>
        <w:pStyle w:val="28"/>
        <w:bidi w:val="0"/>
      </w:pPr>
      <w:bookmarkStart w:id="4" w:name="heading_1"/>
      <w:bookmarkStart w:id="5" w:name="_Toc5581"/>
      <w:r>
        <w:t>演练基本信息</w:t>
      </w:r>
      <w:bookmarkEnd w:id="4"/>
      <w:bookmarkEnd w:id="5"/>
    </w:p>
    <w:p w14:paraId="5AB27955">
      <w:pPr>
        <w:pStyle w:val="29"/>
        <w:bidi w:val="0"/>
      </w:pPr>
      <w:r>
        <w:t>演练时间：2026年4月8日 14:00 至 16:30</w:t>
      </w:r>
    </w:p>
    <w:p w14:paraId="416F08D6">
      <w:pPr>
        <w:pStyle w:val="29"/>
        <w:bidi w:val="0"/>
      </w:pPr>
      <w:r>
        <w:t>演练地点：天津港引航中心机房 + 天津通海信息技术有限公司应急指挥室</w:t>
      </w:r>
    </w:p>
    <w:p w14:paraId="0AE64B46">
      <w:pPr>
        <w:pStyle w:val="29"/>
        <w:bidi w:val="0"/>
        <w:rPr>
          <w:rFonts w:hint="default" w:eastAsia="宋体"/>
          <w:lang w:val="en-US" w:eastAsia="zh-CN"/>
        </w:rPr>
      </w:pPr>
      <w:r>
        <w:t>演练形式：</w:t>
      </w:r>
      <w:r>
        <w:rPr>
          <w:rFonts w:hint="eastAsia"/>
          <w:lang w:val="en-US" w:eastAsia="zh-CN"/>
        </w:rPr>
        <w:t>实战模拟</w:t>
      </w:r>
    </w:p>
    <w:p w14:paraId="1D3CE1EE">
      <w:pPr>
        <w:pStyle w:val="29"/>
        <w:bidi w:val="0"/>
      </w:pPr>
      <w:r>
        <w:t>演练级别：项目级（Ⅱ级响应）</w:t>
      </w:r>
    </w:p>
    <w:p w14:paraId="157C5101">
      <w:pPr>
        <w:pStyle w:val="29"/>
        <w:bidi w:val="0"/>
      </w:pPr>
      <w:r>
        <w:t>模拟事件：AIS接口服务中断，导致船舶动态数据无法正常接收</w:t>
      </w:r>
    </w:p>
    <w:p w14:paraId="64236D91">
      <w:pPr>
        <w:pStyle w:val="29"/>
        <w:bidi w:val="0"/>
      </w:pPr>
      <w:r>
        <w:t>总指挥：常海霞（管理者代表）</w:t>
      </w:r>
    </w:p>
    <w:p w14:paraId="103C716A">
      <w:pPr>
        <w:pStyle w:val="29"/>
        <w:bidi w:val="0"/>
      </w:pPr>
      <w:r>
        <w:t>副总指挥：甲方项目经理</w:t>
      </w:r>
    </w:p>
    <w:p w14:paraId="1BA52A18">
      <w:pPr>
        <w:pStyle w:val="29"/>
        <w:bidi w:val="0"/>
      </w:pPr>
      <w:r>
        <w:t>实际参与人数：</w:t>
      </w:r>
      <w:r>
        <w:rPr>
          <w:rFonts w:hint="eastAsia"/>
          <w:lang w:val="en-US" w:eastAsia="zh-CN"/>
        </w:rPr>
        <w:t>14</w:t>
      </w:r>
      <w:r>
        <w:t>人</w:t>
      </w:r>
    </w:p>
    <w:p w14:paraId="1507A711">
      <w:pPr>
        <w:pStyle w:val="28"/>
        <w:bidi w:val="0"/>
      </w:pPr>
      <w:bookmarkStart w:id="6" w:name="heading_2"/>
      <w:bookmarkStart w:id="7" w:name="_Toc24495"/>
      <w:r>
        <w:t>演练过程实录</w:t>
      </w:r>
      <w:bookmarkEnd w:id="6"/>
      <w:bookmarkEnd w:id="7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1314"/>
        <w:gridCol w:w="4235"/>
        <w:gridCol w:w="1767"/>
      </w:tblGrid>
      <w:tr w14:paraId="581B2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500C6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时间</w:t>
            </w:r>
          </w:p>
        </w:tc>
        <w:tc>
          <w:tcPr>
            <w:tcW w:w="131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3240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阶段/场景</w:t>
            </w:r>
          </w:p>
        </w:tc>
        <w:tc>
          <w:tcPr>
            <w:tcW w:w="424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F8D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关键活动与沟通记录</w:t>
            </w:r>
          </w:p>
        </w:tc>
        <w:tc>
          <w:tcPr>
            <w:tcW w:w="17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BA5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执行人/报告人</w:t>
            </w:r>
          </w:p>
        </w:tc>
      </w:tr>
      <w:tr w14:paraId="53A3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447C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14:00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5E80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演练启动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70C6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总指挥宣布演练开始：“引航信息系统AIS接口服务故障应急演练现在开始，各小组就位。”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669E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总指挥（常海霞）</w:t>
            </w:r>
          </w:p>
        </w:tc>
      </w:tr>
      <w:tr w14:paraId="036D6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35AE1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14:05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77BD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事件触发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CA32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测试环境模拟AIS接口服务中断。服务台接到引航调度科报障：“船舶动态页面无数据刷新，无法查看船舶实时位置，请尽快处理。”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FC18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研发部、服务台（李华）</w:t>
            </w:r>
          </w:p>
        </w:tc>
      </w:tr>
      <w:tr w14:paraId="31F19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DE85B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14:06-14:10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5117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信息报告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CC412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服务台专员记录工单，初步判断为AIS接口异常，升级至软件运维工程师</w:t>
            </w:r>
          </w:p>
          <w:p w14:paraId="6178807D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软件运维工程师确认AIS接口服务宕机，报告运维部经理</w:t>
            </w:r>
          </w:p>
          <w:p w14:paraId="184B7F0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运维部经理评估事件级别为Ⅱ级，报告应急领导小组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1656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服务台、运维部（徐亚楠、耿宁）</w:t>
            </w:r>
          </w:p>
        </w:tc>
      </w:tr>
      <w:tr w14:paraId="0F24D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8642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14:12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948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书面报告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F320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运维部经理向总指挥提交《突发事件初步报告》，包含事件时间、地点、概况、已采取措施、对引航业务影响评估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A17D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运维部经理（耿宁）</w:t>
            </w:r>
          </w:p>
        </w:tc>
      </w:tr>
      <w:tr w14:paraId="27715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067B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14:15-14:28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4473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应急启动与先期处置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593161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决策：总指挥宣布启动Ⅱ级应急响应</w:t>
            </w:r>
          </w:p>
          <w:p w14:paraId="10DD49B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处置：应急执行小组赶赴机房，保护关键设备，检查机房环境</w:t>
            </w:r>
          </w:p>
          <w:p w14:paraId="52A7299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通报：后勤保障组建立应急通讯群组，确保信息同步</w:t>
            </w:r>
          </w:p>
          <w:p w14:paraId="5F6238E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准备：技术支持小组集结，准备诊断工具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9FEE0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总指挥、应急执行小组、后勤保障组、技术支持小组</w:t>
            </w:r>
          </w:p>
        </w:tc>
      </w:tr>
      <w:tr w14:paraId="71E77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FB1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14:30-15:25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834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技术研判与处置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120D5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故障诊断：检查AIS接口服务状态，确认服务进程异常退出；查看系统日志，发现“内存溢出”错误</w:t>
            </w:r>
          </w:p>
          <w:p w14:paraId="3A0FB3F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诊断结论：内存溢出导致AIS接口服务异常停止</w:t>
            </w:r>
          </w:p>
          <w:p w14:paraId="203B4E6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系统恢复：重启AIS接口服务，恢复数据接收</w:t>
            </w:r>
          </w:p>
          <w:p w14:paraId="1B4DBBAF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.数据验证：检查历史数据完整性，确认无数据丢失</w:t>
            </w:r>
          </w:p>
          <w:p w14:paraId="1105CF84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业务验证：服务台通知引航调度科验证船舶动态页面功能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CCC3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技术支持小组（刘书峰、徐亚楠、赵薇）</w:t>
            </w:r>
          </w:p>
        </w:tc>
      </w:tr>
      <w:tr w14:paraId="7AFEA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D60E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15:28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B445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系统恢复验证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F4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技术支持小组组长报告：“报告总指挥，AIS接口服务已成功恢复，数据接收正常，历史数据完整性已验证，无数据丢失。船舶动态页面已恢复正常。”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86AD7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技术支持小组组长（刘书峰）</w:t>
            </w:r>
          </w:p>
        </w:tc>
      </w:tr>
      <w:tr w14:paraId="0EA3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2DEC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15:30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4C1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演练终止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2885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总指挥宣布：“应急响应结束，演练核心环节完成。转入总结评估阶段。”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D9A5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总指挥（常海霞）</w:t>
            </w:r>
          </w:p>
        </w:tc>
      </w:tr>
      <w:tr w14:paraId="36BA2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10659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16:00-16:30</w:t>
            </w:r>
          </w:p>
        </w:tc>
        <w:tc>
          <w:tcPr>
            <w:tcW w:w="13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D96A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总结点评</w:t>
            </w:r>
          </w:p>
        </w:tc>
        <w:tc>
          <w:tcPr>
            <w:tcW w:w="42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4CD8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各小组组长汇报演练体会与发现的问题，评估组汇报观察结果，总指挥进行总结点评</w:t>
            </w:r>
          </w:p>
        </w:tc>
        <w:tc>
          <w:tcPr>
            <w:tcW w:w="17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C733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全体参演人员</w:t>
            </w:r>
          </w:p>
        </w:tc>
      </w:tr>
    </w:tbl>
    <w:p w14:paraId="1CC15433">
      <w:pPr>
        <w:pStyle w:val="28"/>
        <w:bidi w:val="0"/>
      </w:pPr>
      <w:bookmarkStart w:id="8" w:name="heading_3"/>
      <w:bookmarkStart w:id="9" w:name="_Toc5717"/>
      <w:r>
        <w:t>资源使用与保障情况实录</w:t>
      </w:r>
      <w:bookmarkEnd w:id="8"/>
      <w:bookmarkEnd w:id="9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1"/>
        <w:gridCol w:w="2342"/>
        <w:gridCol w:w="3500"/>
        <w:gridCol w:w="1699"/>
      </w:tblGrid>
      <w:tr w14:paraId="3A8AD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F433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资源类型</w:t>
            </w:r>
          </w:p>
        </w:tc>
        <w:tc>
          <w:tcPr>
            <w:tcW w:w="23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21EA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计划使用情况</w:t>
            </w:r>
          </w:p>
        </w:tc>
        <w:tc>
          <w:tcPr>
            <w:tcW w:w="35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4C0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实际使用/调用情况</w:t>
            </w:r>
          </w:p>
        </w:tc>
        <w:tc>
          <w:tcPr>
            <w:tcW w:w="169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238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51313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F1D82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通信设备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9F3F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对讲机6台，微信群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A58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对讲机CH3频道全程畅通，微信群用于信息同步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852DD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通信保障有力</w:t>
            </w:r>
          </w:p>
        </w:tc>
      </w:tr>
      <w:tr w14:paraId="5D6A1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A9694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测试环境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93A6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AIS接口模拟服务1套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88A7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测试环境正常运行，成功模拟服务中断场景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C417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技术准备充分</w:t>
            </w:r>
          </w:p>
        </w:tc>
      </w:tr>
      <w:tr w14:paraId="50CC2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CFE82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诊断工具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3C7C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日志分析工具、系统监控工具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69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全部工具正常使用，故障诊断顺利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942E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工具准备充分</w:t>
            </w:r>
          </w:p>
        </w:tc>
      </w:tr>
      <w:tr w14:paraId="73BD0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8D9D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文档工具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6B41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应急记录本、评估表格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F9B8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完整记录演练全过程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BC9C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文档规范</w:t>
            </w:r>
          </w:p>
        </w:tc>
      </w:tr>
      <w:tr w14:paraId="66B90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9973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人员到位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4139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计划约15人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C190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实际到位14人，1人因其他工作请假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46EA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核心岗位人员全部到位</w:t>
            </w:r>
          </w:p>
        </w:tc>
      </w:tr>
      <w:tr w14:paraId="63D99C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1E51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应急物资</w:t>
            </w:r>
          </w:p>
        </w:tc>
        <w:tc>
          <w:tcPr>
            <w:tcW w:w="23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DC12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应急通讯录、备件清单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C64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通讯录准确，备件清单已更新</w:t>
            </w:r>
          </w:p>
        </w:tc>
        <w:tc>
          <w:tcPr>
            <w:tcW w:w="169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A7D18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物资准备充分</w:t>
            </w:r>
          </w:p>
        </w:tc>
      </w:tr>
    </w:tbl>
    <w:p w14:paraId="4F9CF1AA">
      <w:pPr>
        <w:pStyle w:val="28"/>
        <w:bidi w:val="0"/>
      </w:pPr>
      <w:bookmarkStart w:id="10" w:name="heading_4"/>
      <w:bookmarkStart w:id="11" w:name="_Toc14636"/>
      <w:r>
        <w:t>问题与改进</w:t>
      </w:r>
      <w:bookmarkEnd w:id="10"/>
      <w:bookmarkEnd w:id="11"/>
    </w:p>
    <w:p w14:paraId="0FAC4F26">
      <w:pPr>
        <w:pStyle w:val="30"/>
        <w:bidi w:val="0"/>
      </w:pPr>
      <w:bookmarkStart w:id="12" w:name="_Toc12605"/>
      <w:r>
        <w:t>问题1：AIS接口服务监控告警未及时触发</w:t>
      </w:r>
      <w:bookmarkEnd w:id="12"/>
    </w:p>
    <w:p w14:paraId="504A3386">
      <w:pPr>
        <w:pStyle w:val="29"/>
        <w:bidi w:val="0"/>
      </w:pPr>
      <w:r>
        <w:t>根源分析：当前监控策略未覆盖AIS接口服务的进程状态检测，故障由客户主动报修发现，而非监控系统告警。</w:t>
      </w:r>
    </w:p>
    <w:p w14:paraId="3AC95FA9">
      <w:pPr>
        <w:pStyle w:val="29"/>
        <w:bidi w:val="0"/>
      </w:pPr>
      <w:r>
        <w:t>改进建议：</w:t>
      </w:r>
    </w:p>
    <w:p w14:paraId="5F0D6470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完善监控策略，增加AIS接口服务进程状态检测，配置告警阈值</w:t>
      </w:r>
    </w:p>
    <w:p w14:paraId="7881166D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将AIS接口服务纳入7×24小时重点监控对象</w:t>
      </w:r>
    </w:p>
    <w:p w14:paraId="57B22AE3">
      <w:pPr>
        <w:numPr>
          <w:ilvl w:val="0"/>
          <w:numId w:val="5"/>
        </w:numPr>
        <w:spacing w:before="120" w:after="120" w:line="288" w:lineRule="auto"/>
        <w:ind w:left="425" w:leftChars="0" w:hanging="425" w:firstLineChars="0"/>
        <w:jc w:val="left"/>
      </w:pPr>
      <w:r>
        <w:rPr>
          <w:rFonts w:ascii="Arial" w:hAnsi="Arial" w:eastAsia="等线" w:cs="Arial"/>
          <w:sz w:val="22"/>
        </w:rPr>
        <w:t>责任部门：运维部，完成期限：2026年4月20日</w:t>
      </w:r>
    </w:p>
    <w:p w14:paraId="3D8B8C17">
      <w:pPr>
        <w:pStyle w:val="30"/>
        <w:bidi w:val="0"/>
      </w:pPr>
      <w:bookmarkStart w:id="13" w:name="_Toc18551"/>
      <w:r>
        <w:t>问题2：AIS接口故障处置流程未录入知识库</w:t>
      </w:r>
      <w:bookmarkEnd w:id="13"/>
    </w:p>
    <w:p w14:paraId="70FF1B06">
      <w:pPr>
        <w:pStyle w:val="29"/>
        <w:bidi w:val="0"/>
      </w:pPr>
      <w:r>
        <w:t>根源分析：AIS接口相关故障的标准处置流程未及时录入知识库，技术人员需现场分析日志，影响处置效率。</w:t>
      </w:r>
    </w:p>
    <w:p w14:paraId="1E358453">
      <w:pPr>
        <w:pStyle w:val="29"/>
        <w:bidi w:val="0"/>
      </w:pPr>
      <w:r>
        <w:t>改进建议：</w:t>
      </w:r>
    </w:p>
    <w:p w14:paraId="0F5BDBAF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补充AIS接口故障处理标准操作流程文档，录入知识库</w:t>
      </w:r>
    </w:p>
    <w:p w14:paraId="0FCE025B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定期审核知识库中故障处置流程的完整性和准确性</w:t>
      </w:r>
    </w:p>
    <w:p w14:paraId="2B2D6A00">
      <w:pPr>
        <w:pStyle w:val="39"/>
        <w:numPr>
          <w:ilvl w:val="0"/>
          <w:numId w:val="6"/>
        </w:numPr>
        <w:bidi w:val="0"/>
        <w:ind w:left="425" w:leftChars="0" w:hanging="425" w:firstLineChars="0"/>
      </w:pPr>
      <w:r>
        <w:t>责任部门：服务知识，完成期限：2026年4月18日</w:t>
      </w:r>
    </w:p>
    <w:p w14:paraId="21796E3B">
      <w:pPr>
        <w:pStyle w:val="30"/>
        <w:bidi w:val="0"/>
      </w:pPr>
      <w:bookmarkStart w:id="14" w:name="_Toc24821"/>
      <w:r>
        <w:t>问题3：AIS接口备件未纳入备件库</w:t>
      </w:r>
      <w:bookmarkEnd w:id="14"/>
    </w:p>
    <w:p w14:paraId="07CC7AF3">
      <w:pPr>
        <w:pStyle w:val="29"/>
        <w:bidi w:val="0"/>
      </w:pPr>
      <w:r>
        <w:t>根源分析：演练中模拟需要更换AIS接口服务器配件，但备件库无对应备件。</w:t>
      </w:r>
    </w:p>
    <w:p w14:paraId="3286A7E7">
      <w:pPr>
        <w:pStyle w:val="29"/>
        <w:bidi w:val="0"/>
      </w:pPr>
      <w:r>
        <w:t>改进建议：</w:t>
      </w:r>
    </w:p>
    <w:p w14:paraId="6FA4ADFE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评估并补充AIS接口相关备件（服务器内存、电源模块等），纳入备件库</w:t>
      </w:r>
    </w:p>
    <w:p w14:paraId="3EE9B498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建立备件库定期盘点机制，确保关键备件齐全</w:t>
      </w:r>
    </w:p>
    <w:p w14:paraId="30F7A3AA">
      <w:pPr>
        <w:pStyle w:val="39"/>
        <w:numPr>
          <w:ilvl w:val="0"/>
          <w:numId w:val="7"/>
        </w:numPr>
        <w:bidi w:val="0"/>
        <w:ind w:left="425" w:leftChars="0" w:hanging="425" w:firstLineChars="0"/>
      </w:pPr>
      <w:r>
        <w:t>责任部门：备件库，完成期限：2026年4月25日</w:t>
      </w:r>
    </w:p>
    <w:p w14:paraId="45F51F93">
      <w:pPr>
        <w:spacing w:before="120" w:after="120" w:line="288" w:lineRule="auto"/>
        <w:ind w:left="0"/>
        <w:jc w:val="left"/>
      </w:pPr>
    </w:p>
    <w:p w14:paraId="2DEF3255">
      <w:pPr>
        <w:pStyle w:val="30"/>
        <w:bidi w:val="0"/>
      </w:pPr>
      <w:bookmarkStart w:id="15" w:name="_Toc10156"/>
      <w:r>
        <w:t>问题4：故障交接流程可进一步标准化</w:t>
      </w:r>
      <w:bookmarkEnd w:id="15"/>
    </w:p>
    <w:p w14:paraId="419A629A">
      <w:pPr>
        <w:pStyle w:val="29"/>
        <w:bidi w:val="0"/>
      </w:pPr>
      <w:r>
        <w:t>根源分析：技术支持小组接管现场后，与值班工程师的交接流程不够规范，信息传递存在遗漏风险。</w:t>
      </w:r>
    </w:p>
    <w:p w14:paraId="2D6E3FAF">
      <w:pPr>
        <w:pStyle w:val="29"/>
        <w:bidi w:val="0"/>
      </w:pPr>
      <w:r>
        <w:t>改进建议：</w:t>
      </w:r>
    </w:p>
    <w:p w14:paraId="5610DF6C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制定标准化的《故障现场交接单》，包含故障现象、已采取措施、注意事项等</w:t>
      </w:r>
    </w:p>
    <w:p w14:paraId="7F9ABF2D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设立固定的现场交接程序，确保信息传递完整</w:t>
      </w:r>
    </w:p>
    <w:p w14:paraId="2DCD92AE">
      <w:pPr>
        <w:pStyle w:val="39"/>
        <w:numPr>
          <w:ilvl w:val="0"/>
          <w:numId w:val="8"/>
        </w:numPr>
        <w:bidi w:val="0"/>
        <w:ind w:left="425" w:leftChars="0" w:hanging="425" w:firstLineChars="0"/>
      </w:pPr>
      <w:r>
        <w:t>责任部门：运维部，完成期限：2026年4月30日</w:t>
      </w:r>
    </w:p>
    <w:p w14:paraId="4E5BFA96">
      <w:pPr>
        <w:pStyle w:val="29"/>
        <w:ind w:firstLine="480"/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E463B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天津通海信息技术有限公司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B121BF"/>
    <w:multiLevelType w:val="singleLevel"/>
    <w:tmpl w:val="92B121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434CF33"/>
    <w:multiLevelType w:val="singleLevel"/>
    <w:tmpl w:val="C434CF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A7373E6"/>
    <w:multiLevelType w:val="singleLevel"/>
    <w:tmpl w:val="EA7373E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F1336EB"/>
    <w:multiLevelType w:val="singleLevel"/>
    <w:tmpl w:val="FF1336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2AC6BC8"/>
    <w:multiLevelType w:val="singleLevel"/>
    <w:tmpl w:val="02AC6B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29DD6590"/>
    <w:multiLevelType w:val="singleLevel"/>
    <w:tmpl w:val="29DD65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B3C05BA"/>
    <w:multiLevelType w:val="singleLevel"/>
    <w:tmpl w:val="6B3C05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C83187"/>
    <w:rsid w:val="0D025310"/>
    <w:rsid w:val="0F1D7D7F"/>
    <w:rsid w:val="1432607A"/>
    <w:rsid w:val="15363706"/>
    <w:rsid w:val="188C34E2"/>
    <w:rsid w:val="1E31641D"/>
    <w:rsid w:val="243F1D63"/>
    <w:rsid w:val="37A4078E"/>
    <w:rsid w:val="461C39D2"/>
    <w:rsid w:val="4A6253C5"/>
    <w:rsid w:val="56496330"/>
    <w:rsid w:val="570D462C"/>
    <w:rsid w:val="5B7A6F8C"/>
    <w:rsid w:val="67CF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sz w:val="32"/>
    </w:rPr>
  </w:style>
  <w:style w:type="paragraph" w:customStyle="1" w:styleId="29">
    <w:name w:val="柴_正文"/>
    <w:basedOn w:val="12"/>
    <w:link w:val="42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rPr>
      <w:sz w:val="24"/>
      <w:lang w:eastAsia="zh-CN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941</Words>
  <Characters>1078</Characters>
  <Lines>246</Lines>
  <Paragraphs>184</Paragraphs>
  <TotalTime>0</TotalTime>
  <ScaleCrop>false</ScaleCrop>
  <LinksUpToDate>false</LinksUpToDate>
  <CharactersWithSpaces>1123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2026-05-09T20:38:29Z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