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spacing w:before="78" w:line="219" w:lineRule="auto"/>
        <w:ind w:left="25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文件编号：ITSS-0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-01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-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08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eastAsia="宋体" w:hAnsi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eastAsia="宋体" w:hAnsi="宋体" w:cs="宋体"/>
          <w:b/>
          <w:bCs/>
          <w:spacing w:val="-5"/>
          <w:sz w:val="24"/>
          <w:szCs w:val="24"/>
        </w:rPr>
        <w:t>：V1.0</w:t>
      </w:r>
    </w:p>
    <w:p>
      <w:pPr>
        <w:pStyle w:val="a"/>
        <w:bidi w:val="0"/>
      </w:pPr>
      <w:bookmarkStart w:id="0" w:name="_Toc4817"/>
      <w:r>
        <w:rPr>
          <w:rFonts w:hint="eastAsia"/>
          <w:lang w:val="en-US" w:eastAsia="zh-CN"/>
        </w:rPr>
        <w:t>天津通海信息技术有限公司</w:t>
      </w:r>
      <w:bookmarkEnd w:id="0"/>
    </w:p>
    <w:p>
      <w:pPr>
        <w:pStyle w:val="a0"/>
        <w:bidi w:val="0"/>
        <w:rPr>
          <w:rFonts w:hint="default"/>
          <w:lang w:val="en-US"/>
        </w:rPr>
      </w:pPr>
      <w:bookmarkStart w:id="1" w:name="_Toc8858"/>
      <w:r>
        <w:rPr>
          <w:rFonts w:hint="eastAsia"/>
          <w:lang w:val="en-US" w:eastAsia="zh-CN"/>
        </w:rPr>
        <w:t>配置管理制度</w:t>
      </w:r>
      <w:bookmarkEnd w:id="1"/>
    </w:p>
    <w:tbl>
      <w:tblPr>
        <w:tblStyle w:val="TableGrid"/>
        <w:tblW w:w="0" w:type="auto"/>
        <w:tblInd w:w="2443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tblInd w:w="2443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耿宁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尹兆铮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>
      <w:r>
        <w:br w:type="page"/>
      </w:r>
    </w:p>
    <w:p>
      <w:pPr>
        <w:spacing w:before="153" w:line="225" w:lineRule="auto"/>
        <w:ind w:left="3634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301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>
        <w:tblPrEx>
          <w:tblW w:w="8301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</w:trPr>
        <w:tc>
          <w:tcPr>
            <w:tcW w:w="1555" w:type="dxa"/>
          </w:tcPr>
          <w:p>
            <w:pPr>
              <w:spacing w:before="176" w:line="228" w:lineRule="auto"/>
              <w:ind w:left="607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spacing w:before="175" w:line="227" w:lineRule="auto"/>
              <w:ind w:left="253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spacing w:before="175" w:line="228" w:lineRule="auto"/>
              <w:ind w:left="73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>
            <w:pPr>
              <w:spacing w:before="175" w:line="228" w:lineRule="auto"/>
              <w:ind w:left="31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>
            <w:pPr>
              <w:spacing w:before="175" w:line="228" w:lineRule="auto"/>
              <w:ind w:left="310"/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>
            <w:pPr>
              <w:spacing w:before="176" w:line="229" w:lineRule="auto"/>
              <w:ind w:left="311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spacing w:before="173" w:line="267" w:lineRule="exact"/>
              <w:ind w:left="26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>
            <w:pPr>
              <w:spacing w:before="173" w:line="267" w:lineRule="exact"/>
              <w:ind w:left="248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spacing w:before="172" w:line="228" w:lineRule="auto"/>
              <w:ind w:left="114"/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>
            <w:pPr>
              <w:spacing w:before="172" w:line="228" w:lineRule="auto"/>
              <w:ind w:left="313"/>
              <w:rPr>
                <w:rFonts w:ascii="宋体" w:eastAsia="宋体" w:hAnsi="宋体" w:cs="宋体" w:hint="eastAsia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z w:val="20"/>
                <w:szCs w:val="20"/>
                <w:lang w:val="en-US" w:eastAsia="zh-CN"/>
              </w:rPr>
              <w:t>耿宁</w:t>
            </w:r>
          </w:p>
        </w:tc>
        <w:tc>
          <w:tcPr>
            <w:tcW w:w="1150" w:type="dxa"/>
          </w:tcPr>
          <w:p>
            <w:pPr>
              <w:spacing w:before="172" w:line="228" w:lineRule="auto"/>
              <w:ind w:left="313"/>
              <w:rPr>
                <w:rFonts w:ascii="宋体" w:eastAsia="宋体" w:hAnsi="宋体" w:cs="宋体" w:hint="eastAsia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>
            <w:pPr>
              <w:spacing w:before="173" w:line="229" w:lineRule="auto"/>
              <w:ind w:left="314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尹兆铮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pStyle w:val="TableText"/>
            </w:pPr>
          </w:p>
        </w:tc>
        <w:tc>
          <w:tcPr>
            <w:tcW w:w="1150" w:type="dxa"/>
          </w:tcPr>
          <w:p>
            <w:pPr>
              <w:pStyle w:val="TableText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pStyle w:val="TableText"/>
            </w:pPr>
          </w:p>
        </w:tc>
        <w:tc>
          <w:tcPr>
            <w:tcW w:w="1150" w:type="dxa"/>
          </w:tcPr>
          <w:p>
            <w:pPr>
              <w:pStyle w:val="TableText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pStyle w:val="TableText"/>
            </w:pPr>
          </w:p>
        </w:tc>
        <w:tc>
          <w:tcPr>
            <w:tcW w:w="1150" w:type="dxa"/>
          </w:tcPr>
          <w:p>
            <w:pPr>
              <w:pStyle w:val="TableText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</w:tbl>
    <w:p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_Toc4817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_Toc4817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_Toc8858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配置管理制度</w:t>
          </w:r>
          <w:r>
            <w:tab/>
          </w:r>
          <w:r>
            <w:fldChar w:fldCharType="begin"/>
          </w:r>
          <w:r>
            <w:instrText xml:space="preserve"> PAGEREF _Toc8858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_Toc22640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_Toc22640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_Toc10253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_Toc10253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_Toc17354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_Toc17354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_Toc30473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_Toc30473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_Toc5981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运维项目经理</w:t>
          </w:r>
          <w:r>
            <w:tab/>
          </w:r>
          <w:r>
            <w:fldChar w:fldCharType="begin"/>
          </w:r>
          <w:r>
            <w:instrText xml:space="preserve"> PAGEREF _Toc5981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_Toc24537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运维实施工程师</w:t>
          </w:r>
          <w:r>
            <w:tab/>
          </w:r>
          <w:r>
            <w:fldChar w:fldCharType="begin"/>
          </w:r>
          <w:r>
            <w:instrText xml:space="preserve"> PAGEREF _Toc24537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_Toc17130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配置管理流程</w:t>
          </w:r>
          <w:r>
            <w:tab/>
          </w:r>
          <w:r>
            <w:fldChar w:fldCharType="begin"/>
          </w:r>
          <w:r>
            <w:instrText xml:space="preserve"> PAGEREF _Toc17130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_Toc31067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流程说明</w:t>
          </w:r>
          <w:r>
            <w:tab/>
          </w:r>
          <w:r>
            <w:fldChar w:fldCharType="begin"/>
          </w:r>
          <w:r>
            <w:instrText xml:space="preserve"> PAGEREF _Toc31067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_Toc14217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5.1.1. 配置计划</w:t>
          </w:r>
          <w:r>
            <w:tab/>
          </w:r>
          <w:r>
            <w:fldChar w:fldCharType="begin"/>
          </w:r>
          <w:r>
            <w:instrText xml:space="preserve"> PAGEREF _Toc14217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_Toc5935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5.1.2. 配置定义与标识</w:t>
          </w:r>
          <w:r>
            <w:tab/>
          </w:r>
          <w:r>
            <w:fldChar w:fldCharType="begin"/>
          </w:r>
          <w:r>
            <w:instrText xml:space="preserve"> PAGEREF _Toc5935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_Toc11676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5.1.3. 建立配置管理数据库</w:t>
          </w:r>
          <w:r>
            <w:tab/>
          </w:r>
          <w:r>
            <w:fldChar w:fldCharType="begin"/>
          </w:r>
          <w:r>
            <w:instrText xml:space="preserve"> PAGEREF _Toc11676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_Toc32361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5.1.4. CMDB 的控制与维护</w:t>
          </w:r>
          <w:r>
            <w:tab/>
          </w:r>
          <w:r>
            <w:fldChar w:fldCharType="begin"/>
          </w:r>
          <w:r>
            <w:instrText xml:space="preserve"> PAGEREF _Toc32361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_Toc29499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5.1.5. 配置审计与验证</w:t>
          </w:r>
          <w:r>
            <w:tab/>
          </w:r>
          <w:r>
            <w:fldChar w:fldCharType="begin"/>
          </w:r>
          <w:r>
            <w:instrText xml:space="preserve"> PAGEREF _Toc29499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_Toc13512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5.1.6. 生成配置报告</w:t>
          </w:r>
          <w:r>
            <w:tab/>
          </w:r>
          <w:r>
            <w:fldChar w:fldCharType="begin"/>
          </w:r>
          <w:r>
            <w:instrText xml:space="preserve"> PAGEREF _Toc13512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_Toc20230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考核指标</w:t>
          </w:r>
          <w:r>
            <w:tab/>
          </w:r>
          <w:r>
            <w:fldChar w:fldCharType="begin"/>
          </w:r>
          <w:r>
            <w:instrText xml:space="preserve"> PAGEREF _Toc20230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_Toc26310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eastAsia="宋体" w:hint="default"/>
              <w:lang w:val="en-US" w:eastAsia="zh-CN"/>
            </w:rPr>
            <w:t xml:space="preserve">6. </w:t>
          </w:r>
          <w:r>
            <w:rPr>
              <w:rFonts w:eastAsia="宋体"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_Toc26310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_Toc8838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_Toc8838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_Toc761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_Toc761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bidi w:val="0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</w:pPr>
      <w:bookmarkStart w:id="2" w:name="_Toc22640"/>
      <w:r>
        <w:t>目的</w:t>
      </w:r>
      <w:bookmarkEnd w:id="2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</w:t>
      </w:r>
      <w:r>
        <w:t>提供一个统一的、一致的流程来管理售后服务环境中的所有组成部分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特制定此制度。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3" w:name="_Toc10253"/>
      <w:r>
        <w:rPr>
          <w:rFonts w:hint="eastAsia"/>
          <w:lang w:val="en-US" w:eastAsia="zh-CN"/>
        </w:rPr>
        <w:t>原则</w:t>
      </w:r>
      <w:bookmarkEnd w:id="3"/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准确性与真实性：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所有配置项（CI）的信息必须准确、完整，并与其实际物理和逻辑状态始终保持一致。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受控的变更：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对所有配置项的任何变更都必须通过规范的流程进行审批、记录和跟踪，以确保环境的稳定性与可追溯性。</w:t>
      </w:r>
    </w:p>
    <w:p>
      <w:pPr>
        <w:pStyle w:val="1"/>
        <w:bidi w:val="0"/>
      </w:pPr>
      <w:bookmarkStart w:id="4" w:name="_Toc17354"/>
      <w:r>
        <w:rPr>
          <w:rFonts w:hint="eastAsia"/>
          <w:lang w:val="en-US" w:eastAsia="zh-CN"/>
        </w:rPr>
        <w:t>适用</w:t>
      </w:r>
      <w:r>
        <w:t>范围</w:t>
      </w:r>
      <w:bookmarkEnd w:id="4"/>
    </w:p>
    <w:p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20" w:firstLineChars="200"/>
        <w:textAlignment w:val="baseline"/>
        <w:rPr>
          <w:rFonts w:ascii="宋体" w:eastAsia="宋体" w:hAnsi="宋体" w:cs="宋体" w:hint="eastAsia"/>
          <w:spacing w:val="-1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spacing w:val="-1"/>
          <w:sz w:val="24"/>
          <w:szCs w:val="24"/>
        </w:rPr>
        <w:t>配置管理范围是指公司服务客户的生产环境中所有运维管理对象，包括</w:t>
      </w:r>
      <w:r>
        <w:rPr>
          <w:rFonts w:ascii="宋体" w:eastAsia="宋体" w:hAnsi="宋体" w:cs="宋体" w:hint="eastAsia"/>
          <w:spacing w:val="-1"/>
          <w:sz w:val="24"/>
          <w:szCs w:val="24"/>
          <w:lang w:eastAsia="zh-CN"/>
        </w:rPr>
        <w:t>：</w:t>
      </w:r>
    </w:p>
    <w:p>
      <w:pPr>
        <w:numPr>
          <w:ilvl w:val="0"/>
          <w:numId w:val="3"/>
        </w:numPr>
        <w:spacing w:before="138" w:line="220" w:lineRule="auto"/>
        <w:ind w:left="425" w:hanging="425" w:leftChars="0" w:firstLineChars="0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基础环境</w:t>
      </w:r>
    </w:p>
    <w:p>
      <w:pPr>
        <w:numPr>
          <w:ilvl w:val="0"/>
          <w:numId w:val="3"/>
        </w:numPr>
        <w:spacing w:before="78" w:line="220" w:lineRule="auto"/>
        <w:ind w:left="425" w:hanging="425" w:leftChars="0" w:firstLineChars="0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专用硬件设备</w:t>
      </w:r>
    </w:p>
    <w:p>
      <w:pPr>
        <w:numPr>
          <w:ilvl w:val="0"/>
          <w:numId w:val="3"/>
        </w:numPr>
        <w:spacing w:before="78" w:line="220" w:lineRule="auto"/>
        <w:ind w:left="425" w:hanging="425" w:leftChars="0" w:firstLineChars="0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4"/>
          <w:sz w:val="24"/>
          <w:szCs w:val="24"/>
        </w:rPr>
        <w:t>软件</w:t>
      </w:r>
    </w:p>
    <w:p>
      <w:pPr>
        <w:numPr>
          <w:ilvl w:val="0"/>
          <w:numId w:val="3"/>
        </w:numPr>
        <w:spacing w:before="79" w:line="220" w:lineRule="auto"/>
        <w:ind w:left="425" w:hanging="425" w:leftChars="0" w:firstLineChars="0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组织人员</w:t>
      </w:r>
    </w:p>
    <w:p>
      <w:pPr>
        <w:numPr>
          <w:ilvl w:val="0"/>
          <w:numId w:val="3"/>
        </w:numPr>
        <w:spacing w:before="78" w:line="220" w:lineRule="auto"/>
        <w:ind w:left="425" w:hanging="425" w:leftChars="0" w:firstLineChars="0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文档</w:t>
      </w:r>
    </w:p>
    <w:p>
      <w:pPr>
        <w:numPr>
          <w:ilvl w:val="0"/>
          <w:numId w:val="3"/>
        </w:numPr>
        <w:spacing w:before="79" w:line="220" w:lineRule="auto"/>
        <w:ind w:left="425" w:hanging="425" w:leftChars="0" w:firstLineChars="0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合同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5" w:name="_Toc30473"/>
      <w:r>
        <w:rPr>
          <w:rFonts w:hint="eastAsia"/>
          <w:lang w:val="en-US" w:eastAsia="zh-CN"/>
        </w:rPr>
        <w:t>岗位职责</w:t>
      </w:r>
      <w:bookmarkEnd w:id="5"/>
    </w:p>
    <w:p>
      <w:pPr>
        <w:pStyle w:val="2"/>
        <w:bidi w:val="0"/>
        <w:rPr>
          <w:rFonts w:hint="eastAsia"/>
          <w:lang w:val="en-US" w:eastAsia="zh-CN"/>
        </w:rPr>
      </w:pPr>
      <w:bookmarkStart w:id="6" w:name="_Toc5981"/>
      <w:r>
        <w:rPr>
          <w:rFonts w:hint="eastAsia"/>
          <w:lang w:val="en-US" w:eastAsia="zh-CN"/>
        </w:rPr>
        <w:t>运维项目经理</w:t>
      </w:r>
      <w:bookmarkEnd w:id="6"/>
    </w:p>
    <w:p>
      <w:pPr>
        <w:pStyle w:val="a1"/>
        <w:numPr>
          <w:ilvl w:val="0"/>
          <w:numId w:val="4"/>
        </w:numPr>
        <w:bidi w:val="0"/>
        <w:ind w:left="425" w:hanging="425" w:leftChars="0" w:firstLineChars="0"/>
      </w:pPr>
      <w:r>
        <w:t>负责配置管理流程中所有具体活动的协调和监控；</w:t>
      </w:r>
    </w:p>
    <w:p>
      <w:pPr>
        <w:pStyle w:val="a1"/>
        <w:numPr>
          <w:ilvl w:val="0"/>
          <w:numId w:val="4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</w:t>
      </w:r>
      <w:r>
        <w:t>发起和协调配置项的规划、识别、监控、控制、维护、审计、审批等工作；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7" w:name="_Toc24537"/>
      <w:r>
        <w:rPr>
          <w:rFonts w:hint="eastAsia"/>
          <w:lang w:val="en-US" w:eastAsia="zh-CN"/>
        </w:rPr>
        <w:t>运维实施工程师</w:t>
      </w:r>
      <w:bookmarkEnd w:id="7"/>
    </w:p>
    <w:p>
      <w:pPr>
        <w:pStyle w:val="a1"/>
        <w:numPr>
          <w:ilvl w:val="0"/>
          <w:numId w:val="5"/>
        </w:numPr>
        <w:bidi w:val="0"/>
        <w:ind w:left="425" w:hanging="425" w:leftChars="0" w:firstLineChars="0"/>
      </w:pPr>
      <w:r>
        <w:t>负责维护配置数据的完整性，并保障提供给运行管理相关各个流程的信息准确性；</w:t>
      </w:r>
    </w:p>
    <w:p>
      <w:pPr>
        <w:pStyle w:val="a1"/>
        <w:numPr>
          <w:ilvl w:val="0"/>
          <w:numId w:val="5"/>
        </w:numPr>
        <w:bidi w:val="0"/>
        <w:ind w:left="425" w:hanging="425" w:leftChars="0" w:firstLineChars="0"/>
      </w:pPr>
      <w:r>
        <w:rPr>
          <w:rFonts w:hint="eastAsia"/>
          <w:lang w:val="en-US" w:eastAsia="zh-CN"/>
        </w:rPr>
        <w:t>负责</w:t>
      </w:r>
      <w:r>
        <w:t>配置信息维护表的发布；</w:t>
      </w:r>
    </w:p>
    <w:p>
      <w:pPr>
        <w:pStyle w:val="a1"/>
        <w:numPr>
          <w:ilvl w:val="0"/>
          <w:numId w:val="5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t>负责对配置管理库的配置项做审计，制定审计计划及审计报告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8" w:name="_Toc17130"/>
      <w:r>
        <w:rPr>
          <w:rFonts w:hint="eastAsia"/>
          <w:lang w:val="en-US" w:eastAsia="zh-CN"/>
        </w:rPr>
        <w:t>配置管理流程</w:t>
      </w:r>
      <w:bookmarkEnd w:id="8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配置管理流程如图5-1所示</w:t>
      </w:r>
    </w:p>
    <w:p>
      <w:pPr>
        <w:pStyle w:val="a1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配置管理流程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obje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height:318.75pt;width:399.45pt" o:oleicon="f" o:ole="" coordsize="21600,21600" o:preferrelative="t" filled="f" stroked="f">
            <v:stroke joinstyle="miter"/>
            <v:imagedata r:id="rId4" o:title=""/>
            <o:lock v:ext="edit" aspectratio="t"/>
            <w10:anchorlock/>
          </v:shape>
          <o:OLEObject Type="Embed" ProgID="Visio.Drawing.15" ShapeID="_x0000_i1025" DrawAspect="Content" ObjectID="_1468075725" r:id="rId5"/>
        </w:object>
      </w:r>
    </w:p>
    <w:p>
      <w:pPr>
        <w:pStyle w:val="2"/>
        <w:bidi w:val="0"/>
        <w:rPr>
          <w:rFonts w:hint="default"/>
          <w:lang w:val="en-US" w:eastAsia="zh-CN"/>
        </w:rPr>
      </w:pPr>
      <w:bookmarkStart w:id="9" w:name="_Toc31067"/>
      <w:r>
        <w:rPr>
          <w:rFonts w:hint="eastAsia"/>
          <w:lang w:val="en-US" w:eastAsia="zh-CN"/>
        </w:rPr>
        <w:t>流程说明</w:t>
      </w:r>
      <w:bookmarkEnd w:id="9"/>
    </w:p>
    <w:p>
      <w:pPr>
        <w:pStyle w:val="3"/>
        <w:bidi w:val="0"/>
        <w:rPr>
          <w:rFonts w:hint="default"/>
        </w:rPr>
      </w:pPr>
      <w:bookmarkStart w:id="10" w:name="_Toc14217"/>
      <w:r>
        <w:rPr>
          <w:rFonts w:hint="default"/>
        </w:rPr>
        <w:t>配置计划</w:t>
      </w:r>
      <w:bookmarkEnd w:id="10"/>
    </w:p>
    <w:p>
      <w:pPr>
        <w:pStyle w:val="a1"/>
        <w:bidi w:val="0"/>
      </w:pPr>
      <w:r>
        <w:rPr>
          <w:rFonts w:hint="eastAsia"/>
          <w:lang w:val="en-US" w:eastAsia="zh-CN"/>
        </w:rPr>
        <w:t>运维实施工程师</w:t>
      </w:r>
      <w:r>
        <w:rPr>
          <w:rFonts w:hint="default"/>
        </w:rPr>
        <w:t>依据服务合同及《服务需求说明书》编制《配置管理计划》</w:t>
      </w:r>
    </w:p>
    <w:p>
      <w:pPr>
        <w:pStyle w:val="3"/>
        <w:bidi w:val="0"/>
        <w:rPr>
          <w:rFonts w:hint="default"/>
        </w:rPr>
      </w:pPr>
      <w:bookmarkStart w:id="11" w:name="_Toc5935"/>
      <w:r>
        <w:rPr>
          <w:rFonts w:hint="default"/>
        </w:rPr>
        <w:t>配置定义与标识</w:t>
      </w:r>
      <w:bookmarkEnd w:id="11"/>
    </w:p>
    <w:p>
      <w:pPr>
        <w:pStyle w:val="a1"/>
        <w:bidi w:val="0"/>
        <w:rPr>
          <w:rFonts w:hint="default"/>
        </w:rPr>
      </w:pPr>
      <w:r>
        <w:rPr>
          <w:rFonts w:hint="default"/>
        </w:rPr>
        <w:t>强化配置项（CI）变更的授权控制，在整个CI生命周期内跟踪其状态历史（如过去、当前及计划状态），确保仅被认可和标识的配置项方可被记录与管理。配置项的具体定义与标识方式须在《配置管理计划》中予以明确。</w:t>
      </w:r>
    </w:p>
    <w:p>
      <w:pPr>
        <w:pStyle w:val="3"/>
        <w:bidi w:val="0"/>
        <w:rPr>
          <w:rFonts w:hint="default"/>
        </w:rPr>
      </w:pPr>
      <w:bookmarkStart w:id="12" w:name="_Toc11676"/>
      <w:r>
        <w:rPr>
          <w:rFonts w:hint="default"/>
        </w:rPr>
        <w:t>建立配置管理数据库</w:t>
      </w:r>
      <w:bookmarkEnd w:id="12"/>
    </w:p>
    <w:p>
      <w:pPr>
        <w:pStyle w:val="a1"/>
        <w:bidi w:val="0"/>
        <w:rPr>
          <w:rFonts w:hint="default"/>
        </w:rPr>
      </w:pPr>
      <w:r>
        <w:rPr>
          <w:rFonts w:hint="eastAsia"/>
          <w:lang w:eastAsia="zh-CN"/>
        </w:rPr>
        <w:t>运维实施工程师</w:t>
      </w:r>
      <w:r>
        <w:rPr>
          <w:rFonts w:hint="default"/>
        </w:rPr>
        <w:t>依据《配置管理计划》填写《配置清单》，构建涵盖各类配置信息的配置管理数据库（CMDB）。</w:t>
      </w:r>
    </w:p>
    <w:p>
      <w:pPr>
        <w:pStyle w:val="3"/>
        <w:bidi w:val="0"/>
        <w:rPr>
          <w:rFonts w:hint="default"/>
        </w:rPr>
      </w:pPr>
      <w:bookmarkStart w:id="13" w:name="_Toc32361"/>
      <w:r>
        <w:rPr>
          <w:rFonts w:hint="default"/>
        </w:rPr>
        <w:t>CMDB 的控制与维护</w:t>
      </w:r>
      <w:bookmarkEnd w:id="13"/>
    </w:p>
    <w:p>
      <w:pPr>
        <w:pStyle w:val="a1"/>
        <w:bidi w:val="0"/>
        <w:rPr>
          <w:rFonts w:hint="default"/>
        </w:rPr>
      </w:pPr>
      <w:r>
        <w:rPr>
          <w:rFonts w:hint="eastAsia"/>
          <w:lang w:eastAsia="zh-CN"/>
        </w:rPr>
        <w:t>运维实施工程师</w:t>
      </w:r>
      <w:r>
        <w:rPr>
          <w:rFonts w:hint="eastAsia"/>
          <w:lang w:val="en-US" w:eastAsia="zh-CN"/>
        </w:rPr>
        <w:t>负</w:t>
      </w:r>
      <w:r>
        <w:rPr>
          <w:rFonts w:hint="default"/>
        </w:rPr>
        <w:t>责配置项信息的添加与维护。发生配置项变更时，由变更管理流程提出变更信息，</w:t>
      </w:r>
      <w:r>
        <w:rPr>
          <w:rFonts w:hint="eastAsia"/>
          <w:lang w:eastAsia="zh-CN"/>
        </w:rPr>
        <w:t>运维实施工程师</w:t>
      </w:r>
      <w:r>
        <w:rPr>
          <w:rFonts w:hint="default"/>
        </w:rPr>
        <w:t>责执行实际更新与修改操作。</w:t>
      </w:r>
    </w:p>
    <w:p>
      <w:pPr>
        <w:pStyle w:val="3"/>
        <w:bidi w:val="0"/>
        <w:rPr>
          <w:rFonts w:hint="default"/>
        </w:rPr>
      </w:pPr>
      <w:bookmarkStart w:id="14" w:name="_Toc29499"/>
      <w:r>
        <w:rPr>
          <w:rFonts w:hint="default"/>
        </w:rPr>
        <w:t>配置审计与验证</w:t>
      </w:r>
      <w:bookmarkEnd w:id="14"/>
    </w:p>
    <w:p>
      <w:pPr>
        <w:pStyle w:val="a1"/>
        <w:bidi w:val="0"/>
        <w:rPr>
          <w:rFonts w:hint="default"/>
        </w:rPr>
      </w:pPr>
      <w:r>
        <w:rPr>
          <w:rFonts w:hint="default"/>
        </w:rPr>
        <w:t>定期对CMDB中配置数据的准确性进行审计与验证，确保数据库内容与物理实际一致，以维护配置信息的完整性。审计过程中需核对并更新配置信息，并编制《配置审计报告》。无论审计是否存在误差，均须如实记录该报告。</w:t>
      </w:r>
      <w:r>
        <w:rPr>
          <w:rFonts w:hint="default"/>
        </w:rPr>
        <w:br/>
      </w:r>
      <w:r>
        <w:rPr>
          <w:rFonts w:hint="default"/>
        </w:rPr>
        <w:t>常规配置审计每年</w:t>
      </w:r>
      <w:r>
        <w:rPr>
          <w:rFonts w:hint="eastAsia"/>
          <w:lang w:val="en-US" w:eastAsia="zh-CN"/>
        </w:rPr>
        <w:t>度</w:t>
      </w:r>
      <w:bookmarkStart w:id="15" w:name="_GoBack"/>
      <w:bookmarkEnd w:id="15"/>
      <w:r>
        <w:rPr>
          <w:rFonts w:hint="default"/>
        </w:rPr>
        <w:t>执行一次，出现以下情况时须追加审计：</w:t>
      </w:r>
    </w:p>
    <w:p>
      <w:pPr>
        <w:pStyle w:val="a3"/>
        <w:numPr>
          <w:ilvl w:val="0"/>
          <w:numId w:val="6"/>
        </w:numPr>
        <w:bidi w:val="0"/>
        <w:ind w:left="425" w:hanging="425" w:leftChars="0" w:firstLineChars="0"/>
      </w:pPr>
      <w:r>
        <w:rPr>
          <w:rFonts w:hint="default"/>
        </w:rPr>
        <w:t>发生重大变更后；</w:t>
      </w:r>
    </w:p>
    <w:p>
      <w:pPr>
        <w:pStyle w:val="a3"/>
        <w:numPr>
          <w:ilvl w:val="0"/>
          <w:numId w:val="6"/>
        </w:numPr>
        <w:bidi w:val="0"/>
        <w:ind w:left="425" w:hanging="425" w:leftChars="0" w:firstLineChars="0"/>
      </w:pPr>
      <w:r>
        <w:rPr>
          <w:rFonts w:hint="default"/>
        </w:rPr>
        <w:t>新系统上线或版本升级时。</w:t>
      </w:r>
    </w:p>
    <w:p>
      <w:pPr>
        <w:pStyle w:val="3"/>
        <w:bidi w:val="0"/>
        <w:rPr>
          <w:rFonts w:hint="default"/>
        </w:rPr>
      </w:pPr>
      <w:bookmarkStart w:id="16" w:name="_Toc13512"/>
      <w:r>
        <w:rPr>
          <w:rFonts w:hint="default"/>
        </w:rPr>
        <w:t>生成配置报告</w:t>
      </w:r>
      <w:bookmarkEnd w:id="16"/>
    </w:p>
    <w:p>
      <w:pPr>
        <w:pStyle w:val="a1"/>
        <w:bidi w:val="0"/>
        <w:rPr>
          <w:rFonts w:hint="default"/>
        </w:rPr>
      </w:pPr>
      <w:r>
        <w:rPr>
          <w:rFonts w:hint="eastAsia"/>
          <w:lang w:eastAsia="zh-CN"/>
        </w:rPr>
        <w:t>运维实施工程师</w:t>
      </w:r>
      <w:r>
        <w:rPr>
          <w:rFonts w:hint="default"/>
        </w:rPr>
        <w:t>每月应整理CMDB信息，编写《配置报告》，内容须包括：配置项最新版本、存放位置、软件主版本位置、依赖关系及版本历史记录。</w:t>
      </w:r>
      <w:r>
        <w:rPr>
          <w:rFonts w:hint="default"/>
        </w:rPr>
        <w:br/>
      </w:r>
      <w:r>
        <w:rPr>
          <w:rFonts w:hint="default"/>
        </w:rPr>
        <w:t>每季度须对CMDB信息进行汇总并编写季度报告。</w:t>
      </w:r>
      <w:r>
        <w:rPr>
          <w:rFonts w:hint="default"/>
        </w:rPr>
        <w:br/>
      </w:r>
      <w:r>
        <w:rPr>
          <w:rFonts w:hint="default"/>
        </w:rPr>
        <w:t>配置项如下内容可随时进行核对：服务配置项或系统、变更记录、基准线、开发或发布信息、版本及变量状态。</w:t>
      </w:r>
    </w:p>
    <w:p>
      <w:pPr>
        <w:pStyle w:val="2"/>
        <w:bidi w:val="0"/>
      </w:pPr>
      <w:bookmarkStart w:id="17" w:name="_Toc20230"/>
      <w:bookmarkStart w:id="18" w:name="_Toc6088"/>
      <w:r>
        <w:t>考核指标</w:t>
      </w:r>
      <w:bookmarkEnd w:id="17"/>
      <w:bookmarkEnd w:id="18"/>
    </w:p>
    <w:tbl>
      <w:tblPr>
        <w:tblStyle w:val="TableGrid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0"/>
        <w:gridCol w:w="4404"/>
        <w:gridCol w:w="1070"/>
        <w:gridCol w:w="1258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64" w:type="dxa"/>
          </w:tcPr>
          <w:p>
            <w:pPr>
              <w:widowControl w:val="0"/>
              <w:jc w:val="center"/>
              <w:rPr>
                <w:rFonts w:ascii="宋体" w:eastAsia="宋体" w:hAnsi="宋体" w:cs="宋体" w:hint="default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val="en-US" w:eastAsia="zh-CN"/>
              </w:rPr>
              <w:t>指标度量性</w:t>
            </w:r>
          </w:p>
        </w:tc>
        <w:tc>
          <w:tcPr>
            <w:tcW w:w="2583" w:type="dxa"/>
          </w:tcPr>
          <w:p>
            <w:pPr>
              <w:widowControl w:val="0"/>
              <w:jc w:val="center"/>
              <w:rPr>
                <w:rFonts w:ascii="宋体" w:eastAsia="宋体" w:hAnsi="宋体" w:cs="宋体" w:hint="default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val="en-US" w:eastAsia="zh-CN"/>
              </w:rPr>
              <w:t>计算方式</w:t>
            </w:r>
          </w:p>
        </w:tc>
        <w:tc>
          <w:tcPr>
            <w:tcW w:w="1353" w:type="dxa"/>
          </w:tcPr>
          <w:p>
            <w:pPr>
              <w:widowControl w:val="0"/>
              <w:jc w:val="center"/>
              <w:rPr>
                <w:rFonts w:ascii="宋体" w:eastAsia="宋体" w:hAnsi="宋体" w:cs="宋体" w:hint="default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val="en-US" w:eastAsia="zh-CN"/>
              </w:rPr>
              <w:t>频次</w:t>
            </w:r>
          </w:p>
        </w:tc>
        <w:tc>
          <w:tcPr>
            <w:tcW w:w="1583" w:type="dxa"/>
          </w:tcPr>
          <w:p>
            <w:pPr>
              <w:widowControl w:val="0"/>
              <w:jc w:val="center"/>
              <w:rPr>
                <w:rFonts w:ascii="宋体" w:eastAsia="宋体" w:hAnsi="宋体" w:cs="宋体" w:hint="default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val="en-US" w:eastAsia="zh-CN"/>
              </w:rPr>
              <w:t>指标要求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/>
        </w:trPr>
        <w:tc>
          <w:tcPr>
            <w:tcW w:w="1964" w:type="dxa"/>
            <w:shd w:val="clear" w:color="auto" w:fill="auto"/>
          </w:tcPr>
          <w:p>
            <w:pPr>
              <w:widowControl w:val="0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配置项更新时间达标率</w:t>
            </w:r>
          </w:p>
        </w:tc>
        <w:tc>
          <w:tcPr>
            <w:tcW w:w="2583" w:type="dxa"/>
            <w:shd w:val="clear" w:color="auto" w:fill="auto"/>
          </w:tcPr>
          <w:p>
            <w:pPr>
              <w:widowControl w:val="0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配置项变更时在7日内更新记录的项目数/发生配置项变更的项目总数</w:t>
            </w: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*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100%</w:t>
            </w:r>
          </w:p>
        </w:tc>
        <w:tc>
          <w:tcPr>
            <w:tcW w:w="1353" w:type="dxa"/>
            <w:shd w:val="clear" w:color="auto" w:fill="auto"/>
          </w:tcPr>
          <w:p>
            <w:pPr>
              <w:widowControl w:val="0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</w:p>
        </w:tc>
        <w:tc>
          <w:tcPr>
            <w:tcW w:w="1583" w:type="dxa"/>
            <w:shd w:val="clear" w:color="auto" w:fill="auto"/>
          </w:tcPr>
          <w:p>
            <w:pPr>
              <w:widowControl w:val="0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≥90%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/>
        </w:trPr>
        <w:tc>
          <w:tcPr>
            <w:tcW w:w="0" w:type="auto"/>
            <w:shd w:val="clear" w:color="auto" w:fill="auto"/>
          </w:tcPr>
          <w:p>
            <w:pPr>
              <w:widowControl w:val="0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抽查配置管理数据库准确率</w:t>
            </w:r>
          </w:p>
        </w:tc>
        <w:tc>
          <w:tcPr>
            <w:tcW w:w="0" w:type="auto"/>
            <w:shd w:val="clear" w:color="auto" w:fill="auto"/>
          </w:tcPr>
          <w:p>
            <w:pPr>
              <w:widowControl w:val="0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抽查的配置项记录与现场实际相符的项目数/抽查配置项的项目总数</w:t>
            </w: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*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100%</w:t>
            </w:r>
          </w:p>
        </w:tc>
        <w:tc>
          <w:tcPr>
            <w:tcW w:w="0" w:type="auto"/>
            <w:shd w:val="clear" w:color="auto" w:fill="auto"/>
          </w:tcPr>
          <w:p>
            <w:pPr>
              <w:widowControl w:val="0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</w:p>
        </w:tc>
        <w:tc>
          <w:tcPr>
            <w:tcW w:w="0" w:type="auto"/>
            <w:shd w:val="clear" w:color="auto" w:fill="auto"/>
          </w:tcPr>
          <w:p>
            <w:pPr>
              <w:widowControl w:val="0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≥98%</w:t>
            </w:r>
          </w:p>
        </w:tc>
      </w:tr>
    </w:tbl>
    <w:p>
      <w:pPr>
        <w:pStyle w:val="1"/>
        <w:bidi w:val="0"/>
        <w:rPr>
          <w:rStyle w:val="1Char"/>
          <w:rFonts w:eastAsia="宋体" w:hint="default"/>
          <w:lang w:val="en-US" w:eastAsia="zh-CN"/>
        </w:rPr>
      </w:pPr>
      <w:bookmarkStart w:id="19" w:name="bookmark3"/>
      <w:bookmarkEnd w:id="19"/>
      <w:bookmarkStart w:id="20" w:name="_Toc26310"/>
      <w:bookmarkStart w:id="21" w:name="_Toc17424"/>
      <w:r>
        <w:rPr>
          <w:rStyle w:val="1Char"/>
          <w:rFonts w:eastAsia="宋体" w:hint="eastAsia"/>
          <w:lang w:val="en-US" w:eastAsia="zh-CN"/>
        </w:rPr>
        <w:t>附则</w:t>
      </w:r>
      <w:bookmarkEnd w:id="20"/>
      <w:bookmarkEnd w:id="21"/>
    </w:p>
    <w:p>
      <w:pPr>
        <w:keepNext w:val="0"/>
        <w:keepLines w:val="0"/>
        <w:pageBreakBefore w:val="0"/>
        <w:widowControl/>
        <w:numPr>
          <w:ilvl w:val="0"/>
          <w:numId w:val="7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本制度最终解释权和修订权归</w:t>
      </w:r>
      <w:r>
        <w:rPr>
          <w:rFonts w:ascii="宋体" w:eastAsia="宋体" w:hAnsi="宋体" w:cs="宋体" w:hint="eastAsia"/>
          <w:spacing w:val="-1"/>
          <w:sz w:val="24"/>
          <w:szCs w:val="24"/>
          <w:lang w:val="en-US" w:eastAsia="zh-CN"/>
        </w:rPr>
        <w:t>运维部</w:t>
      </w:r>
      <w:r>
        <w:rPr>
          <w:rFonts w:ascii="宋体" w:eastAsia="宋体" w:hAnsi="宋体" w:cs="宋体"/>
          <w:spacing w:val="-1"/>
          <w:sz w:val="24"/>
          <w:szCs w:val="24"/>
        </w:rPr>
        <w:t>。</w:t>
      </w:r>
    </w:p>
    <w:p>
      <w:pPr>
        <w:keepNext w:val="0"/>
        <w:keepLines w:val="0"/>
        <w:pageBreakBefore w:val="0"/>
        <w:widowControl/>
        <w:numPr>
          <w:ilvl w:val="0"/>
          <w:numId w:val="7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ascii="宋体" w:eastAsia="宋体" w:hAnsi="宋体" w:cs="宋体"/>
          <w:spacing w:val="-2"/>
          <w:sz w:val="24"/>
          <w:szCs w:val="24"/>
        </w:rPr>
        <w:t>本制度自颁布之日起施行。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2" w:name="bookmark14"/>
      <w:bookmarkEnd w:id="22"/>
      <w:bookmarkStart w:id="23" w:name="_Toc8838"/>
      <w:r>
        <w:rPr>
          <w:rFonts w:hint="eastAsia"/>
          <w:lang w:val="en-US" w:eastAsia="zh-CN"/>
        </w:rPr>
        <w:t>附件</w:t>
      </w:r>
      <w:bookmarkEnd w:id="23"/>
    </w:p>
    <w:p>
      <w:pPr>
        <w:pStyle w:val="a3"/>
        <w:bidi w:val="0"/>
      </w:pPr>
      <w:r>
        <w:t>《变更管理</w:t>
      </w:r>
      <w:r>
        <w:rPr>
          <w:rFonts w:hint="eastAsia"/>
          <w:lang w:val="en-US" w:eastAsia="zh-CN"/>
        </w:rPr>
        <w:t>制度</w:t>
      </w:r>
      <w:r>
        <w:t>》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24" w:name="_Toc761"/>
      <w:r>
        <w:rPr>
          <w:rFonts w:hint="eastAsia"/>
          <w:lang w:val="en-US" w:eastAsia="zh-CN"/>
        </w:rPr>
        <w:t>记录</w:t>
      </w:r>
      <w:bookmarkEnd w:id="24"/>
    </w:p>
    <w:p>
      <w:pPr>
        <w:pStyle w:val="a3"/>
        <w:bidi w:val="0"/>
      </w:pPr>
      <w:r>
        <w:rPr>
          <w:rFonts w:hint="eastAsia"/>
          <w:lang w:eastAsia="zh-CN"/>
        </w:rPr>
        <w:t>《</w:t>
      </w:r>
      <w:r>
        <w:t>配置管理计划》</w:t>
      </w:r>
    </w:p>
    <w:p>
      <w:pPr>
        <w:pStyle w:val="a3"/>
        <w:bidi w:val="0"/>
      </w:pPr>
      <w:r>
        <w:t>《配置清单》</w:t>
      </w:r>
    </w:p>
    <w:p>
      <w:pPr>
        <w:pStyle w:val="a3"/>
        <w:bidi w:val="0"/>
      </w:pPr>
      <w:r>
        <w:t>《配置报告》</w:t>
      </w:r>
    </w:p>
    <w:p>
      <w:pPr>
        <w:pStyle w:val="a3"/>
        <w:bidi w:val="0"/>
        <w:rPr>
          <w:rFonts w:hint="eastAsia"/>
          <w:lang w:val="en-US" w:eastAsia="zh-CN"/>
        </w:rPr>
      </w:pPr>
      <w:r>
        <w:t>《配置审计报告》</w:t>
      </w:r>
    </w:p>
    <w:sectPr>
      <w:headerReference w:type="default" r:id="rId6"/>
      <w:foot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F9539CF3"/>
    <w:multiLevelType w:val="singleLevel"/>
    <w:tmpl w:val="F9539CF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FA0C0849"/>
    <w:multiLevelType w:val="singleLevel"/>
    <w:tmpl w:val="FA0C084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0D8BF18A"/>
    <w:multiLevelType w:val="singleLevel"/>
    <w:tmpl w:val="0D8BF18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2AE015AF"/>
    <w:multiLevelType w:val="singleLevel"/>
    <w:tmpl w:val="2AE015A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3FF51296"/>
    <w:multiLevelType w:val="singleLevel"/>
    <w:tmpl w:val="3FF5129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597F62D6"/>
    <w:multiLevelType w:val="singleLevel"/>
    <w:tmpl w:val="597F62D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6"/>
  </w:num>
  <w:num w:numId="5">
    <w:abstractNumId w:val="2"/>
  </w:num>
  <w:num w:numId="6">
    <w:abstractNumId w:val="5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link w:val="3Char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character" w:customStyle="1" w:styleId="3Char">
    <w:name w:val="柴_标题3 Char"/>
    <w:link w:val="3"/>
    <w:qFormat/>
    <w:rPr>
      <w:rFonts w:ascii="宋体" w:eastAsia="宋体" w:hAnsi="宋体" w:cs="宋体"/>
      <w:spacing w:val="-2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emf" /><Relationship Id="rId5" Type="http://schemas.openxmlformats.org/officeDocument/2006/relationships/oleObject" Target="embeddings/oleObject1.bin" /><Relationship Id="rId6" Type="http://schemas.openxmlformats.org/officeDocument/2006/relationships/header" Target="header1.xml" /><Relationship Id="rId7" Type="http://schemas.openxmlformats.org/officeDocument/2006/relationships/footer" Target="foot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1363</Words>
  <Characters>1499</Characters>
  <Application>Microsoft Office Word</Application>
  <DocSecurity>0</DocSecurity>
  <Lines>0</Lines>
  <Paragraphs>0</Paragraphs>
  <ScaleCrop>false</ScaleCrop>
  <Company/>
  <LinksUpToDate>false</LinksUpToDate>
  <CharactersWithSpaces>1581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2026-03-09T21:38:04Z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