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BE486">
      <w:pPr>
        <w:spacing w:before="78" w:line="219" w:lineRule="auto"/>
        <w:ind w:left="25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2-03</w:t>
      </w:r>
    </w:p>
    <w:p w14:paraId="5F8D9D6B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2676CFF1">
      <w:pPr>
        <w:pStyle w:val="24"/>
        <w:spacing w:after="1872"/>
        <w:rPr>
          <w:lang w:eastAsia="zh-CN"/>
        </w:rPr>
      </w:pPr>
      <w:bookmarkStart w:id="0" w:name="_Toc19231"/>
      <w:bookmarkStart w:id="1" w:name="_Toc15392"/>
      <w:r>
        <w:rPr>
          <w:lang w:eastAsia="zh-CN"/>
        </w:rPr>
        <w:t>天津通海信息技术有限公司</w:t>
      </w:r>
      <w:bookmarkEnd w:id="0"/>
      <w:bookmarkEnd w:id="1"/>
    </w:p>
    <w:p w14:paraId="2ADB6064">
      <w:pPr>
        <w:pStyle w:val="25"/>
        <w:spacing w:after="2808"/>
        <w:rPr>
          <w:rFonts w:hint="eastAsia"/>
        </w:rPr>
      </w:pPr>
      <w:bookmarkStart w:id="2" w:name="_Toc22916"/>
      <w:r>
        <w:rPr>
          <w:rFonts w:hint="eastAsia"/>
          <w:lang w:eastAsia="zh-CN"/>
        </w:rPr>
        <w:t>过程量化指标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4549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5679481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23B51717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 w:eastAsiaTheme="minorEastAsia"/>
                <w:u w:val="single"/>
                <w:lang w:eastAsia="zh-CN"/>
              </w:rPr>
              <w:t>5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 w:eastAsiaTheme="minorEastAsia"/>
                <w:u w:val="single"/>
                <w:lang w:eastAsia="zh-CN"/>
              </w:rPr>
              <w:t>7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  <w:tr w14:paraId="2E1E2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3A6167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6C057FF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 w:eastAsiaTheme="minorEastAsia"/>
                <w:u w:val="single"/>
                <w:lang w:eastAsia="zh-CN"/>
              </w:rPr>
              <w:t>5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 w:eastAsiaTheme="minorEastAsia"/>
                <w:u w:val="single"/>
                <w:lang w:eastAsia="zh-CN"/>
              </w:rPr>
              <w:t>7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  <w:tr w14:paraId="1C8FB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D42720F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58A536EA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 w:eastAsiaTheme="minorEastAsia"/>
                <w:u w:val="single"/>
                <w:lang w:eastAsia="zh-CN"/>
              </w:rPr>
              <w:t>5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 w:eastAsiaTheme="minorEastAsia"/>
                <w:u w:val="single"/>
                <w:lang w:eastAsia="zh-CN"/>
              </w:rPr>
              <w:t>7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</w:tbl>
    <w:p w14:paraId="05E36A11">
      <w:r>
        <w:br w:type="page"/>
      </w:r>
    </w:p>
    <w:p w14:paraId="164402AC">
      <w:pPr>
        <w:spacing w:before="153" w:line="225" w:lineRule="auto"/>
        <w:ind w:left="3634"/>
        <w:rPr>
          <w:rFonts w:hint="eastAsia"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1438B3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5EA38BA">
            <w:pPr>
              <w:spacing w:before="176" w:line="228" w:lineRule="auto"/>
              <w:ind w:left="60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B406DEB">
            <w:pPr>
              <w:spacing w:before="175" w:line="227" w:lineRule="auto"/>
              <w:ind w:left="253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EF281D0">
            <w:pPr>
              <w:spacing w:before="175" w:line="228" w:lineRule="auto"/>
              <w:ind w:left="73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05597FF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C5A0E8F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2265844D">
            <w:pPr>
              <w:spacing w:before="176" w:line="229" w:lineRule="auto"/>
              <w:ind w:left="3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019EA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7C4341A">
            <w:pPr>
              <w:spacing w:before="173" w:line="267" w:lineRule="exact"/>
              <w:ind w:left="26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eastAsia="zh-CN"/>
              </w:rPr>
              <w:t>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.0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eastAsia="zh-CN"/>
              </w:rPr>
              <w:t>7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.08</w:t>
            </w:r>
          </w:p>
        </w:tc>
        <w:tc>
          <w:tcPr>
            <w:tcW w:w="919" w:type="dxa"/>
          </w:tcPr>
          <w:p w14:paraId="362CFB96">
            <w:pPr>
              <w:spacing w:before="173" w:line="267" w:lineRule="exact"/>
              <w:ind w:left="248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2B34961">
            <w:pPr>
              <w:spacing w:before="172" w:line="228" w:lineRule="auto"/>
              <w:ind w:left="114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CAC5FCE">
            <w:pPr>
              <w:spacing w:before="172" w:line="228" w:lineRule="auto"/>
              <w:ind w:left="313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7E711272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2E93B980">
            <w:pPr>
              <w:spacing w:before="173" w:line="229" w:lineRule="auto"/>
              <w:ind w:left="314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044C09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B1D0278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07DCC304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339D7FEE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87FA1A3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4034928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A34C815">
            <w:pPr>
              <w:pStyle w:val="27"/>
              <w:rPr>
                <w:rFonts w:hint="eastAsia"/>
              </w:rPr>
            </w:pPr>
          </w:p>
        </w:tc>
      </w:tr>
      <w:tr w14:paraId="034634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BAF5D43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5962B597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5B7CB19F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118C89B4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C863906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E3EA6A0">
            <w:pPr>
              <w:pStyle w:val="27"/>
              <w:rPr>
                <w:rFonts w:hint="eastAsia"/>
              </w:rPr>
            </w:pPr>
          </w:p>
        </w:tc>
      </w:tr>
      <w:tr w14:paraId="33F3AE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3476B038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791F59EF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5B60AAC5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1D6363A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2152948E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321A7D85">
            <w:pPr>
              <w:pStyle w:val="27"/>
              <w:rPr>
                <w:rFonts w:hint="eastAsia"/>
              </w:rPr>
            </w:pPr>
          </w:p>
        </w:tc>
      </w:tr>
      <w:tr w14:paraId="4AABFD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D8F9B35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6C1D1770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6F9423EF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26E432F5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4034DDE2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283C0E2B">
            <w:pPr>
              <w:pStyle w:val="27"/>
              <w:rPr>
                <w:rFonts w:hint="eastAsia"/>
              </w:rPr>
            </w:pPr>
          </w:p>
        </w:tc>
      </w:tr>
      <w:tr w14:paraId="458A72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145D03A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42556A75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5D8C54B8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5AB12D78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42911D5A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3D22C209">
            <w:pPr>
              <w:pStyle w:val="27"/>
              <w:rPr>
                <w:rFonts w:hint="eastAsia"/>
              </w:rPr>
            </w:pPr>
          </w:p>
        </w:tc>
      </w:tr>
    </w:tbl>
    <w:p w14:paraId="1DD25B99">
      <w:r>
        <w:br w:type="page"/>
      </w:r>
    </w:p>
    <w:sdt>
      <w:sdtPr>
        <w:rPr>
          <w:rFonts w:ascii="宋体" w:hAnsi="宋体" w:eastAsia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z w:val="24"/>
          <w:szCs w:val="24"/>
        </w:rPr>
      </w:sdtEndPr>
      <w:sdtContent>
        <w:p w14:paraId="7CE8D209">
          <w:pPr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0F2317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"_Toc15392" </w:instrText>
          </w:r>
          <w:r>
            <w:fldChar w:fldCharType="separate"/>
          </w:r>
          <w:r>
            <w:rPr>
              <w:rFonts w:hint="eastAsia"/>
              <w:lang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_Toc15392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891F8B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"_Toc22916" </w:instrText>
          </w:r>
          <w:r>
            <w:fldChar w:fldCharType="separate"/>
          </w:r>
          <w:r>
            <w:rPr>
              <w:rFonts w:hint="eastAsia"/>
              <w:lang w:eastAsia="zh-CN"/>
            </w:rPr>
            <w:t>过程量化指标</w:t>
          </w:r>
          <w:r>
            <w:tab/>
          </w:r>
          <w:r>
            <w:fldChar w:fldCharType="begin"/>
          </w:r>
          <w:r>
            <w:instrText xml:space="preserve"> PAGEREF _Toc22916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3BF0AE6">
          <w:pPr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1DA0DFB">
      <w:r>
        <w:br w:type="page"/>
      </w:r>
    </w:p>
    <w:p w14:paraId="0EA1573E">
      <w:pPr>
        <w:jc w:val="center"/>
        <w:rPr>
          <w:rFonts w:eastAsia="宋体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天津港引航中心引航信息系统及设备维护</w:t>
      </w:r>
      <w:r>
        <w:rPr>
          <w:rFonts w:hint="eastAsia"/>
          <w:b/>
          <w:bCs/>
          <w:lang w:val="en-US" w:eastAsia="zh-CN"/>
        </w:rPr>
        <w:t>项目</w:t>
      </w:r>
      <w:r>
        <w:rPr>
          <w:rFonts w:hint="eastAsia" w:eastAsia="宋体"/>
          <w:b/>
          <w:bCs/>
          <w:lang w:eastAsia="zh-CN"/>
        </w:rPr>
        <w:t>-过程量化指标</w:t>
      </w:r>
    </w:p>
    <w:tbl>
      <w:tblPr>
        <w:tblStyle w:val="26"/>
        <w:tblW w:w="9604" w:type="dxa"/>
        <w:tblInd w:w="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7"/>
        <w:gridCol w:w="2028"/>
        <w:gridCol w:w="818"/>
        <w:gridCol w:w="3468"/>
        <w:gridCol w:w="609"/>
        <w:gridCol w:w="1070"/>
      </w:tblGrid>
      <w:tr w14:paraId="09776D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47" w:type="dxa"/>
            <w:shd w:val="clear" w:color="auto" w:fill="auto"/>
            <w:vAlign w:val="center"/>
          </w:tcPr>
          <w:p w14:paraId="50FF3CD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</w:t>
            </w:r>
          </w:p>
        </w:tc>
        <w:tc>
          <w:tcPr>
            <w:tcW w:w="2028" w:type="dxa"/>
            <w:shd w:val="clear" w:color="auto" w:fill="auto"/>
          </w:tcPr>
          <w:p w14:paraId="2B9067B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过程框架设计与服务需求的匹配率</w:t>
            </w:r>
          </w:p>
        </w:tc>
        <w:tc>
          <w:tcPr>
            <w:tcW w:w="818" w:type="dxa"/>
            <w:shd w:val="clear" w:color="auto" w:fill="auto"/>
          </w:tcPr>
          <w:p w14:paraId="2D459D6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≥85%</w:t>
            </w:r>
          </w:p>
        </w:tc>
        <w:tc>
          <w:tcPr>
            <w:tcW w:w="3468" w:type="dxa"/>
            <w:shd w:val="clear" w:color="auto" w:fill="auto"/>
          </w:tcPr>
          <w:p w14:paraId="506BAE79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匹配的需求项数 / 总需求项数 × 100%</w:t>
            </w:r>
          </w:p>
        </w:tc>
        <w:tc>
          <w:tcPr>
            <w:tcW w:w="609" w:type="dxa"/>
            <w:shd w:val="clear" w:color="auto" w:fill="auto"/>
          </w:tcPr>
          <w:p w14:paraId="1E06BADB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5A09C18B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76A400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47" w:type="dxa"/>
            <w:vMerge w:val="restart"/>
            <w:shd w:val="clear" w:color="auto" w:fill="auto"/>
            <w:vAlign w:val="center"/>
          </w:tcPr>
          <w:p w14:paraId="294CE8F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</w:t>
            </w:r>
          </w:p>
        </w:tc>
        <w:tc>
          <w:tcPr>
            <w:tcW w:w="2028" w:type="dxa"/>
            <w:shd w:val="clear" w:color="auto" w:fill="auto"/>
          </w:tcPr>
          <w:p w14:paraId="23149A2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服务级别达成率</w:t>
            </w:r>
          </w:p>
        </w:tc>
        <w:tc>
          <w:tcPr>
            <w:tcW w:w="818" w:type="dxa"/>
            <w:shd w:val="clear" w:color="auto" w:fill="auto"/>
          </w:tcPr>
          <w:p w14:paraId="64A0062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550C8BC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达成SLA要求的项目数/项目总数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1526966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12159B6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1CD673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147" w:type="dxa"/>
            <w:vMerge w:val="continue"/>
            <w:vAlign w:val="center"/>
          </w:tcPr>
          <w:p w14:paraId="0C5C745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034ECB3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SLA达成情况按时监控率</w:t>
            </w:r>
          </w:p>
        </w:tc>
        <w:tc>
          <w:tcPr>
            <w:tcW w:w="818" w:type="dxa"/>
            <w:shd w:val="clear" w:color="auto" w:fill="auto"/>
          </w:tcPr>
          <w:p w14:paraId="1A09233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22D5B65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得到及时监控的项目数/项目总数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644F4F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7C3D4DE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5DCF0A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continue"/>
            <w:vAlign w:val="center"/>
          </w:tcPr>
          <w:p w14:paraId="2FB9B00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4DB0244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未达成指标分析并制定改进措施比率</w:t>
            </w:r>
          </w:p>
        </w:tc>
        <w:tc>
          <w:tcPr>
            <w:tcW w:w="818" w:type="dxa"/>
            <w:shd w:val="clear" w:color="auto" w:fill="auto"/>
          </w:tcPr>
          <w:p w14:paraId="5B85BB5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37DEB4B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监控指标未达标时分析并制定改进措施次数/未达成指标数量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BB87EB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705378E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244591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restart"/>
            <w:shd w:val="clear" w:color="auto" w:fill="auto"/>
            <w:vAlign w:val="center"/>
          </w:tcPr>
          <w:p w14:paraId="055CAFE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</w:t>
            </w:r>
          </w:p>
        </w:tc>
        <w:tc>
          <w:tcPr>
            <w:tcW w:w="2028" w:type="dxa"/>
            <w:shd w:val="clear" w:color="auto" w:fill="auto"/>
          </w:tcPr>
          <w:p w14:paraId="234CC3B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服务报告按时交付率</w:t>
            </w:r>
          </w:p>
        </w:tc>
        <w:tc>
          <w:tcPr>
            <w:tcW w:w="818" w:type="dxa"/>
            <w:shd w:val="clear" w:color="auto" w:fill="auto"/>
          </w:tcPr>
          <w:p w14:paraId="75BF7C3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2AB6F8D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服务报告按时交付数/服务报告总数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6CE8DF4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0D1623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7B0B00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continue"/>
            <w:vAlign w:val="center"/>
          </w:tcPr>
          <w:p w14:paraId="2BD73BE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569180A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服务报告审核率</w:t>
            </w:r>
          </w:p>
        </w:tc>
        <w:tc>
          <w:tcPr>
            <w:tcW w:w="818" w:type="dxa"/>
            <w:shd w:val="clear" w:color="auto" w:fill="auto"/>
          </w:tcPr>
          <w:p w14:paraId="1E3A99B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63A4006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服务发布前按程序审核数/服务报告总数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17E4B35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EFD8A9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76363B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1147" w:type="dxa"/>
            <w:shd w:val="clear" w:color="auto" w:fill="auto"/>
            <w:vAlign w:val="center"/>
          </w:tcPr>
          <w:p w14:paraId="547D038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事件管理</w:t>
            </w:r>
          </w:p>
        </w:tc>
        <w:tc>
          <w:tcPr>
            <w:tcW w:w="2028" w:type="dxa"/>
            <w:shd w:val="clear" w:color="auto" w:fill="auto"/>
          </w:tcPr>
          <w:p w14:paraId="20D170D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事件及时响应率</w:t>
            </w:r>
          </w:p>
        </w:tc>
        <w:tc>
          <w:tcPr>
            <w:tcW w:w="818" w:type="dxa"/>
            <w:shd w:val="clear" w:color="auto" w:fill="auto"/>
          </w:tcPr>
          <w:p w14:paraId="3C48E16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324EBFC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月度及时响应的事件/月度总事件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736BF68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54FEFF2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45FD8C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30" w:hRule="atLeast"/>
        </w:trPr>
        <w:tc>
          <w:tcPr>
            <w:tcW w:w="1147" w:type="dxa"/>
            <w:vMerge w:val="restart"/>
            <w:shd w:val="clear" w:color="auto" w:fill="auto"/>
            <w:vAlign w:val="center"/>
          </w:tcPr>
          <w:p w14:paraId="253D8D3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问题管理</w:t>
            </w:r>
          </w:p>
        </w:tc>
        <w:tc>
          <w:tcPr>
            <w:tcW w:w="2028" w:type="dxa"/>
            <w:shd w:val="clear" w:color="auto" w:fill="auto"/>
          </w:tcPr>
          <w:p w14:paraId="1B32552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三次同类事件分析率</w:t>
            </w:r>
          </w:p>
        </w:tc>
        <w:tc>
          <w:tcPr>
            <w:tcW w:w="818" w:type="dxa"/>
            <w:shd w:val="clear" w:color="auto" w:fill="auto"/>
          </w:tcPr>
          <w:p w14:paraId="6DDD129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54D5612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发生三次同类事件时提供分析报告数/当季发生三次同类事件情况总数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15E4FF7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246E63A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1EE1BD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continue"/>
            <w:vAlign w:val="center"/>
          </w:tcPr>
          <w:p w14:paraId="3B751C0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1D6A94C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问题三个月内得到解决的比率</w:t>
            </w:r>
          </w:p>
        </w:tc>
        <w:tc>
          <w:tcPr>
            <w:tcW w:w="818" w:type="dxa"/>
            <w:shd w:val="clear" w:color="auto" w:fill="auto"/>
          </w:tcPr>
          <w:p w14:paraId="447865E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02F4DA2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问题在三个月内得到解决的数量/发生问题总数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13BC037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50E7AB1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2251D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47" w:type="dxa"/>
            <w:vMerge w:val="restart"/>
            <w:shd w:val="clear" w:color="auto" w:fill="auto"/>
            <w:vAlign w:val="center"/>
          </w:tcPr>
          <w:p w14:paraId="3DDBDAE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变更管理</w:t>
            </w:r>
          </w:p>
        </w:tc>
        <w:tc>
          <w:tcPr>
            <w:tcW w:w="2028" w:type="dxa"/>
            <w:shd w:val="clear" w:color="auto" w:fill="auto"/>
          </w:tcPr>
          <w:p w14:paraId="3958355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变更成功率</w:t>
            </w:r>
          </w:p>
        </w:tc>
        <w:tc>
          <w:tcPr>
            <w:tcW w:w="818" w:type="dxa"/>
            <w:shd w:val="clear" w:color="auto" w:fill="auto"/>
          </w:tcPr>
          <w:p w14:paraId="758D7EF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37E6037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72D04F8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B19F23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492D8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1147" w:type="dxa"/>
            <w:vMerge w:val="continue"/>
            <w:vAlign w:val="center"/>
          </w:tcPr>
          <w:p w14:paraId="72033A3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6C988CB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紧急变更比率</w:t>
            </w:r>
          </w:p>
        </w:tc>
        <w:tc>
          <w:tcPr>
            <w:tcW w:w="818" w:type="dxa"/>
            <w:shd w:val="clear" w:color="auto" w:fill="auto"/>
          </w:tcPr>
          <w:p w14:paraId="7880189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&lt;10%</w:t>
            </w:r>
          </w:p>
        </w:tc>
        <w:tc>
          <w:tcPr>
            <w:tcW w:w="3468" w:type="dxa"/>
            <w:shd w:val="clear" w:color="auto" w:fill="auto"/>
          </w:tcPr>
          <w:p w14:paraId="2A722FF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4513CC2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5F826D3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ED0A4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1147" w:type="dxa"/>
            <w:shd w:val="clear" w:color="auto" w:fill="auto"/>
            <w:vAlign w:val="center"/>
          </w:tcPr>
          <w:p w14:paraId="4F0158A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发布管理</w:t>
            </w:r>
          </w:p>
        </w:tc>
        <w:tc>
          <w:tcPr>
            <w:tcW w:w="2028" w:type="dxa"/>
            <w:shd w:val="clear" w:color="auto" w:fill="auto"/>
          </w:tcPr>
          <w:p w14:paraId="1B05F34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发布实施成功率</w:t>
            </w:r>
          </w:p>
        </w:tc>
        <w:tc>
          <w:tcPr>
            <w:tcW w:w="818" w:type="dxa"/>
            <w:shd w:val="clear" w:color="auto" w:fill="auto"/>
          </w:tcPr>
          <w:p w14:paraId="628E3D2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745BD27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发布实施成功总数/发布实施总数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6CB1A6A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1170DCC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309365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restart"/>
            <w:shd w:val="clear" w:color="auto" w:fill="auto"/>
            <w:vAlign w:val="center"/>
          </w:tcPr>
          <w:p w14:paraId="56289A4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配置管理</w:t>
            </w:r>
          </w:p>
        </w:tc>
        <w:tc>
          <w:tcPr>
            <w:tcW w:w="2028" w:type="dxa"/>
            <w:shd w:val="clear" w:color="auto" w:fill="auto"/>
          </w:tcPr>
          <w:p w14:paraId="5B5AE15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配置项更新时间达标率</w:t>
            </w:r>
          </w:p>
        </w:tc>
        <w:tc>
          <w:tcPr>
            <w:tcW w:w="818" w:type="dxa"/>
            <w:shd w:val="clear" w:color="auto" w:fill="auto"/>
          </w:tcPr>
          <w:p w14:paraId="3678093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3DD4E61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配置项变更时在7日内更新记录的项目数/发生配置项变更的项目总数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285BBA3B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83DD50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10E16D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continue"/>
            <w:shd w:val="clear" w:color="auto" w:fill="auto"/>
            <w:vAlign w:val="center"/>
          </w:tcPr>
          <w:p w14:paraId="2703A26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376D7EA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抽查配置管理数据库准确率</w:t>
            </w:r>
          </w:p>
        </w:tc>
        <w:tc>
          <w:tcPr>
            <w:tcW w:w="818" w:type="dxa"/>
            <w:shd w:val="clear" w:color="auto" w:fill="auto"/>
          </w:tcPr>
          <w:p w14:paraId="19C2B6E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3468" w:type="dxa"/>
            <w:shd w:val="clear" w:color="auto" w:fill="auto"/>
          </w:tcPr>
          <w:p w14:paraId="71DDE17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抽查的配置项记录与现场实际相符的项目数/抽查配置项的项目总数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70DD32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7D96428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773261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restart"/>
            <w:shd w:val="clear" w:color="auto" w:fill="auto"/>
            <w:vAlign w:val="center"/>
          </w:tcPr>
          <w:p w14:paraId="5F841AE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服务可用性和连续性管理</w:t>
            </w:r>
          </w:p>
        </w:tc>
        <w:tc>
          <w:tcPr>
            <w:tcW w:w="2028" w:type="dxa"/>
            <w:shd w:val="clear" w:color="auto" w:fill="auto"/>
            <w:vAlign w:val="center"/>
          </w:tcPr>
          <w:p w14:paraId="3738DC39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服务可用率</w:t>
            </w:r>
          </w:p>
        </w:tc>
        <w:tc>
          <w:tcPr>
            <w:tcW w:w="818" w:type="dxa"/>
            <w:shd w:val="clear" w:color="auto" w:fill="auto"/>
          </w:tcPr>
          <w:p w14:paraId="2D696B7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3468" w:type="dxa"/>
            <w:shd w:val="clear" w:color="auto" w:fill="auto"/>
            <w:vAlign w:val="center"/>
          </w:tcPr>
          <w:p w14:paraId="51242FE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服务实际可用时间/服务计划可用时间*100%</w:t>
            </w:r>
          </w:p>
        </w:tc>
        <w:tc>
          <w:tcPr>
            <w:tcW w:w="609" w:type="dxa"/>
            <w:shd w:val="clear" w:color="auto" w:fill="auto"/>
          </w:tcPr>
          <w:p w14:paraId="2D3595D9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440E79B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10EBCB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continue"/>
            <w:shd w:val="clear" w:color="auto" w:fill="auto"/>
            <w:vAlign w:val="center"/>
          </w:tcPr>
          <w:p w14:paraId="31BEDFA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center"/>
          </w:tcPr>
          <w:p w14:paraId="20E86FB8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服务故障中断次数</w:t>
            </w:r>
          </w:p>
        </w:tc>
        <w:tc>
          <w:tcPr>
            <w:tcW w:w="818" w:type="dxa"/>
            <w:shd w:val="clear" w:color="auto" w:fill="auto"/>
          </w:tcPr>
          <w:p w14:paraId="1E7DE76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≤1次</w:t>
            </w:r>
          </w:p>
        </w:tc>
        <w:tc>
          <w:tcPr>
            <w:tcW w:w="3468" w:type="dxa"/>
            <w:shd w:val="clear" w:color="auto" w:fill="auto"/>
            <w:vAlign w:val="center"/>
          </w:tcPr>
          <w:p w14:paraId="360676E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数量，因服务故障导致的服务中断次数</w:t>
            </w:r>
          </w:p>
        </w:tc>
        <w:tc>
          <w:tcPr>
            <w:tcW w:w="609" w:type="dxa"/>
            <w:shd w:val="clear" w:color="auto" w:fill="auto"/>
          </w:tcPr>
          <w:p w14:paraId="54CBA9A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0512199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C79FA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shd w:val="clear" w:color="auto" w:fill="auto"/>
            <w:vAlign w:val="center"/>
          </w:tcPr>
          <w:p w14:paraId="21272C1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系统容量管理</w:t>
            </w:r>
          </w:p>
        </w:tc>
        <w:tc>
          <w:tcPr>
            <w:tcW w:w="2028" w:type="dxa"/>
            <w:shd w:val="clear" w:color="auto" w:fill="auto"/>
          </w:tcPr>
          <w:p w14:paraId="7C617C4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由于容量原因发生的事件次数</w:t>
            </w:r>
          </w:p>
        </w:tc>
        <w:tc>
          <w:tcPr>
            <w:tcW w:w="818" w:type="dxa"/>
            <w:shd w:val="clear" w:color="auto" w:fill="auto"/>
          </w:tcPr>
          <w:p w14:paraId="4B7E38C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&lt;3次</w:t>
            </w:r>
          </w:p>
        </w:tc>
        <w:tc>
          <w:tcPr>
            <w:tcW w:w="3468" w:type="dxa"/>
            <w:shd w:val="clear" w:color="auto" w:fill="auto"/>
          </w:tcPr>
          <w:p w14:paraId="5F794F5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由于容量原因发生的事件次数</w:t>
            </w:r>
          </w:p>
        </w:tc>
        <w:tc>
          <w:tcPr>
            <w:tcW w:w="609" w:type="dxa"/>
            <w:shd w:val="clear" w:color="auto" w:fill="auto"/>
          </w:tcPr>
          <w:p w14:paraId="0640105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CA5810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1A3971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147" w:type="dxa"/>
            <w:vMerge w:val="restart"/>
            <w:shd w:val="clear" w:color="auto" w:fill="auto"/>
            <w:vAlign w:val="center"/>
          </w:tcPr>
          <w:p w14:paraId="5E9C3A2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</w:t>
            </w:r>
          </w:p>
        </w:tc>
        <w:tc>
          <w:tcPr>
            <w:tcW w:w="2028" w:type="dxa"/>
            <w:shd w:val="clear" w:color="auto" w:fill="auto"/>
          </w:tcPr>
          <w:p w14:paraId="03BAA9E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客户信息泄露次数</w:t>
            </w:r>
          </w:p>
        </w:tc>
        <w:tc>
          <w:tcPr>
            <w:tcW w:w="818" w:type="dxa"/>
            <w:shd w:val="clear" w:color="auto" w:fill="auto"/>
          </w:tcPr>
          <w:p w14:paraId="4DF9EBA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3468" w:type="dxa"/>
            <w:shd w:val="clear" w:color="auto" w:fill="auto"/>
          </w:tcPr>
          <w:p w14:paraId="4A7A689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服务过程中不得发生客户信息泄露</w:t>
            </w:r>
          </w:p>
        </w:tc>
        <w:tc>
          <w:tcPr>
            <w:tcW w:w="609" w:type="dxa"/>
            <w:shd w:val="clear" w:color="auto" w:fill="auto"/>
          </w:tcPr>
          <w:p w14:paraId="2AB64CE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1A82484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4FF75D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continue"/>
            <w:vAlign w:val="center"/>
          </w:tcPr>
          <w:p w14:paraId="4ACEC22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4697B97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信息安全事件客户投诉</w:t>
            </w:r>
          </w:p>
        </w:tc>
        <w:tc>
          <w:tcPr>
            <w:tcW w:w="818" w:type="dxa"/>
            <w:shd w:val="clear" w:color="auto" w:fill="auto"/>
          </w:tcPr>
          <w:p w14:paraId="2403BB7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3468" w:type="dxa"/>
            <w:shd w:val="clear" w:color="auto" w:fill="auto"/>
          </w:tcPr>
          <w:p w14:paraId="5AF0312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服务过程中不得发生信息安全事件客户投诉</w:t>
            </w:r>
          </w:p>
        </w:tc>
        <w:tc>
          <w:tcPr>
            <w:tcW w:w="609" w:type="dxa"/>
            <w:shd w:val="clear" w:color="auto" w:fill="auto"/>
          </w:tcPr>
          <w:p w14:paraId="43D4902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7A59A0F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</w:tbl>
    <w:p w14:paraId="416D8086">
      <w:pPr>
        <w:rPr>
          <w:lang w:eastAsia="zh-CN"/>
        </w:rPr>
      </w:pPr>
      <w:bookmarkStart w:id="3" w:name="_GoBack"/>
      <w:bookmarkEnd w:id="3"/>
    </w:p>
    <w:sectPr>
      <w:headerReference r:id="rId3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D0A5A3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6CE625A"/>
    <w:rsid w:val="0DDE3B96"/>
    <w:rsid w:val="53E2021C"/>
    <w:rsid w:val="700C06A3"/>
    <w:rsid w:val="7064228D"/>
    <w:rsid w:val="7419338E"/>
    <w:rsid w:val="74FF23C9"/>
    <w:rsid w:val="7884048E"/>
    <w:rsid w:val="7A69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851</Words>
  <Characters>1002</Characters>
  <Lines>145</Lines>
  <Paragraphs>167</Paragraphs>
  <TotalTime>0</TotalTime>
  <ScaleCrop>false</ScaleCrop>
  <LinksUpToDate>false</LinksUpToDate>
  <CharactersWithSpaces>1008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2026-05-07T18:56:21Z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