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Lines w:val="0"/>
        <w:pageBreakBefore w:val="0"/>
        <w:widowControl w:val="0"/>
        <w:wordWrap/>
        <w:overflowPunct/>
        <w:bidi w:val="0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文件编号：ITSS-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08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-06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3120" w:afterLines="1000" w:line="219" w:lineRule="auto"/>
        <w:ind w:left="23"/>
        <w:textAlignment w:val="auto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b/>
          <w:bCs/>
          <w:spacing w:val="240"/>
          <w:kern w:val="0"/>
          <w:sz w:val="24"/>
          <w:szCs w:val="24"/>
        </w:rPr>
        <w:t>版</w:t>
      </w:r>
      <w:r>
        <w:rPr>
          <w:rFonts w:ascii="宋体" w:eastAsia="宋体" w:hAnsi="宋体" w:cs="宋体"/>
          <w:b/>
          <w:bCs/>
          <w:spacing w:val="0"/>
          <w:kern w:val="0"/>
          <w:sz w:val="24"/>
          <w:szCs w:val="24"/>
        </w:rPr>
        <w:t>本</w:t>
      </w:r>
      <w:r>
        <w:rPr>
          <w:rFonts w:ascii="宋体" w:eastAsia="宋体" w:hAnsi="宋体" w:cs="宋体"/>
          <w:b/>
          <w:bCs/>
          <w:spacing w:val="-5"/>
          <w:sz w:val="24"/>
          <w:szCs w:val="24"/>
        </w:rPr>
        <w:t>：V1.0</w:t>
      </w:r>
    </w:p>
    <w:p>
      <w:pPr>
        <w:pStyle w:val="a"/>
        <w:keepLines w:val="0"/>
        <w:pageBreakBefore w:val="0"/>
        <w:widowControl w:val="0"/>
        <w:wordWrap/>
        <w:overflowPunct/>
        <w:bidi w:val="0"/>
      </w:pPr>
      <w:bookmarkStart w:id="0" w:name="_Toc27736"/>
      <w:r>
        <w:rPr>
          <w:rFonts w:hint="eastAsia"/>
          <w:lang w:val="en-US" w:eastAsia="zh-CN"/>
        </w:rPr>
        <w:t>天津通海信息技术有限公司</w:t>
      </w:r>
      <w:bookmarkEnd w:id="0"/>
    </w:p>
    <w:p>
      <w:pPr>
        <w:pStyle w:val="a0"/>
        <w:keepLines w:val="0"/>
        <w:pageBreakBefore w:val="0"/>
        <w:widowControl w:val="0"/>
        <w:wordWrap/>
        <w:overflowPunct/>
        <w:bidi w:val="0"/>
        <w:rPr>
          <w:rFonts w:hint="default"/>
          <w:lang w:val="en-US"/>
        </w:rPr>
      </w:pPr>
      <w:bookmarkStart w:id="1" w:name="_Toc17065"/>
      <w:r>
        <w:rPr>
          <w:rFonts w:hint="eastAsia"/>
          <w:lang w:val="en-US" w:eastAsia="zh-CN"/>
        </w:rPr>
        <w:t>服务数据管理制度</w:t>
      </w:r>
      <w:bookmarkEnd w:id="1"/>
    </w:p>
    <w:tbl>
      <w:tblPr>
        <w:tblStyle w:val="TableGrid"/>
        <w:tblW w:w="0" w:type="auto"/>
        <w:tblInd w:w="2443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tblInd w:w="2443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耿宁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</w:trPr>
        <w:tc>
          <w:tcPr>
            <w:tcW w:w="181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常海霞</w:t>
            </w:r>
          </w:p>
        </w:tc>
        <w:tc>
          <w:tcPr>
            <w:tcW w:w="4261" w:type="dxa"/>
            <w:shd w:val="clear" w:color="auto" w:fill="auto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  <w:tr>
        <w:tblPrEx>
          <w:tblW w:w="0" w:type="auto"/>
          <w:tblInd w:w="2443" w:type="dxa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</w:trPr>
        <w:tc>
          <w:tcPr>
            <w:tcW w:w="181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尹兆铮</w:t>
            </w:r>
          </w:p>
        </w:tc>
        <w:tc>
          <w:tcPr>
            <w:tcW w:w="4261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2025.7.3</w:t>
            </w: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p>
      <w:pPr>
        <w:keepLines w:val="0"/>
        <w:pageBreakBefore w:val="0"/>
        <w:widowControl w:val="0"/>
        <w:wordWrap/>
        <w:overflowPunct/>
        <w:bidi w:val="0"/>
        <w:spacing w:before="153" w:line="225" w:lineRule="auto"/>
        <w:ind w:left="3634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301" w:type="dxa"/>
        <w:tblInd w:w="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55"/>
        <w:gridCol w:w="919"/>
        <w:gridCol w:w="2289"/>
        <w:gridCol w:w="1148"/>
        <w:gridCol w:w="1150"/>
        <w:gridCol w:w="1240"/>
      </w:tblGrid>
      <w:tr>
        <w:tblPrEx>
          <w:tblW w:w="8301" w:type="dxa"/>
          <w:tblInd w:w="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8" w:lineRule="auto"/>
              <w:ind w:left="607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7" w:lineRule="auto"/>
              <w:ind w:left="253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73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6"/>
                <w:sz w:val="20"/>
                <w:szCs w:val="20"/>
              </w:rPr>
              <w:t>编写人</w:t>
            </w: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5" w:line="228" w:lineRule="auto"/>
              <w:ind w:left="310"/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审核人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6" w:line="229" w:lineRule="auto"/>
              <w:ind w:left="311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60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2025.7.3</w:t>
            </w:r>
          </w:p>
        </w:tc>
        <w:tc>
          <w:tcPr>
            <w:tcW w:w="91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67" w:lineRule="exact"/>
              <w:ind w:left="248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114"/>
              <w:jc w:val="center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新建文档</w:t>
            </w:r>
          </w:p>
        </w:tc>
        <w:tc>
          <w:tcPr>
            <w:tcW w:w="1148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耿宁</w:t>
            </w:r>
          </w:p>
        </w:tc>
        <w:tc>
          <w:tcPr>
            <w:tcW w:w="1150" w:type="dxa"/>
          </w:tcPr>
          <w:p>
            <w:pPr>
              <w:keepNext w:val="0"/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 w:leftChars="0"/>
              <w:rPr>
                <w:rFonts w:ascii="宋体" w:eastAsia="宋体" w:hAnsi="宋体" w:cs="宋体" w:hint="eastAsia"/>
                <w:spacing w:val="5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常海霞</w:t>
            </w:r>
          </w:p>
        </w:tc>
        <w:tc>
          <w:tcPr>
            <w:tcW w:w="124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6"/>
                <w:sz w:val="20"/>
                <w:szCs w:val="20"/>
                <w:lang w:val="en-US" w:eastAsia="zh-CN"/>
              </w:rPr>
              <w:t>尹兆铮</w:t>
            </w: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2" w:line="228" w:lineRule="auto"/>
              <w:ind w:left="313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150" w:type="dxa"/>
          </w:tcPr>
          <w:p>
            <w:pPr>
              <w:keepLines w:val="0"/>
              <w:pageBreakBefore w:val="0"/>
              <w:widowControl w:val="0"/>
              <w:wordWrap/>
              <w:overflowPunct/>
              <w:bidi w:val="0"/>
              <w:spacing w:before="173" w:line="229" w:lineRule="auto"/>
              <w:ind w:left="314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  <w:tr>
        <w:tblPrEx>
          <w:tblW w:w="8301" w:type="dxa"/>
          <w:tblInd w:w="2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1"/>
        </w:trPr>
        <w:tc>
          <w:tcPr>
            <w:tcW w:w="1555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91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2289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48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15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  <w:tc>
          <w:tcPr>
            <w:tcW w:w="1240" w:type="dxa"/>
          </w:tcPr>
          <w:p>
            <w:pPr>
              <w:pStyle w:val="TableText"/>
              <w:keepLines w:val="0"/>
              <w:pageBreakBefore w:val="0"/>
              <w:widowControl w:val="0"/>
              <w:wordWrap/>
              <w:overflowPunct/>
              <w:bidi w:val="0"/>
            </w:pPr>
          </w:p>
        </w:tc>
      </w:tr>
    </w:tbl>
    <w:p>
      <w:pPr>
        <w:keepLines w:val="0"/>
        <w:pageBreakBefore w:val="0"/>
        <w:widowControl w:val="0"/>
        <w:wordWrap/>
        <w:overflowPunct/>
        <w:bidi w:val="0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Lines w:val="0"/>
            <w:pageBreakBefore w:val="0"/>
            <w:widowControl w:val="0"/>
            <w:wordWrap/>
            <w:overflowPunct/>
            <w:bidi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_Toc27736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天津通海信息技术有限公司</w:t>
          </w:r>
          <w:r>
            <w:tab/>
          </w:r>
          <w:r>
            <w:fldChar w:fldCharType="begin"/>
          </w:r>
          <w:r>
            <w:instrText xml:space="preserve"> PAGEREF _Toc27736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_Toc17065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_Toc17065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_Toc14632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_Toc14632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_Toc11971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原则</w:t>
          </w:r>
          <w:r>
            <w:tab/>
          </w:r>
          <w:r>
            <w:fldChar w:fldCharType="begin"/>
          </w:r>
          <w:r>
            <w:instrText xml:space="preserve"> PAGEREF _Toc11971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适用</w:t>
          </w:r>
          <w:r>
            <w:t>范围</w:t>
          </w:r>
          <w:r>
            <w:tab/>
          </w:r>
          <w:r>
            <w:fldChar w:fldCharType="begin"/>
          </w:r>
          <w:r>
            <w:instrText xml:space="preserve"> PAGEREF _Toc12891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_Toc27469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_Toc27469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_Toc25209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_Toc25209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_Toc3932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_Toc10289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eastAsia="宋体"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服务数据管理</w:t>
          </w:r>
          <w:r>
            <w:tab/>
          </w:r>
          <w:r>
            <w:fldChar w:fldCharType="begin"/>
          </w:r>
          <w:r>
            <w:instrText xml:space="preserve"> PAGEREF _Toc10289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服务数据定义</w:t>
          </w:r>
          <w:r>
            <w:tab/>
          </w:r>
          <w:r>
            <w:fldChar w:fldCharType="begin"/>
          </w:r>
          <w:r>
            <w:instrText xml:space="preserve"> PAGEREF _Toc15142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_Toc30231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5.1.1. </w:t>
          </w:r>
          <w:r>
            <w:rPr>
              <w:rFonts w:hint="eastAsia"/>
              <w:lang w:val="en-US" w:eastAsia="zh-CN"/>
            </w:rPr>
            <w:t>服务数据分类</w:t>
          </w:r>
          <w:r>
            <w:tab/>
          </w:r>
          <w:r>
            <w:fldChar w:fldCharType="begin"/>
          </w:r>
          <w:r>
            <w:instrText xml:space="preserve"> PAGEREF _Toc30231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_Toc1348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5.1.2. </w:t>
          </w:r>
          <w:r>
            <w:rPr>
              <w:rFonts w:hint="eastAsia"/>
              <w:lang w:val="en-US" w:eastAsia="zh-CN"/>
            </w:rPr>
            <w:t>数据内容与格式定义</w:t>
          </w:r>
          <w:r>
            <w:tab/>
          </w:r>
          <w:r>
            <w:fldChar w:fldCharType="begin"/>
          </w:r>
          <w:r>
            <w:instrText xml:space="preserve"> PAGEREF _Toc1348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服务数据全生命周期管理</w:t>
          </w:r>
          <w:r>
            <w:tab/>
          </w:r>
          <w:r>
            <w:fldChar w:fldCharType="begin"/>
          </w:r>
          <w:r>
            <w:instrText xml:space="preserve"> PAGEREF _Toc1389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_Toc29392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5.2.1. </w:t>
          </w:r>
          <w:r>
            <w:t>数据采集</w:t>
          </w:r>
          <w:r>
            <w:tab/>
          </w:r>
          <w:r>
            <w:fldChar w:fldCharType="begin"/>
          </w:r>
          <w:r>
            <w:instrText xml:space="preserve"> PAGEREF _Toc29392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_Toc15425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5.2.2. </w:t>
          </w:r>
          <w:r>
            <w:t>数据存储</w:t>
          </w:r>
          <w:r>
            <w:tab/>
          </w:r>
          <w:r>
            <w:fldChar w:fldCharType="begin"/>
          </w:r>
          <w:r>
            <w:instrText xml:space="preserve"> PAGEREF _Toc15425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_Toc22930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5.2.3. </w:t>
          </w:r>
          <w:r>
            <w:t>数据处理与转换</w:t>
          </w:r>
          <w:r>
            <w:tab/>
          </w:r>
          <w:r>
            <w:fldChar w:fldCharType="begin"/>
          </w:r>
          <w:r>
            <w:instrText xml:space="preserve"> PAGEREF _Toc22930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_Toc18783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5.2.4. </w:t>
          </w:r>
          <w:r>
            <w:t>数据使用与共享</w:t>
          </w:r>
          <w:r>
            <w:tab/>
          </w:r>
          <w:r>
            <w:fldChar w:fldCharType="begin"/>
          </w:r>
          <w:r>
            <w:instrText xml:space="preserve"> PAGEREF _Toc18783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_Toc17578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5.2.5. </w:t>
          </w:r>
          <w:r>
            <w:t>数据销毁</w:t>
          </w:r>
          <w:r>
            <w:tab/>
          </w:r>
          <w:r>
            <w:fldChar w:fldCharType="begin"/>
          </w:r>
          <w:r>
            <w:instrText xml:space="preserve"> PAGEREF _Toc17578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_Toc19686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数据安全与合规</w:t>
          </w:r>
          <w:r>
            <w:tab/>
          </w:r>
          <w:r>
            <w:fldChar w:fldCharType="begin"/>
          </w:r>
          <w:r>
            <w:instrText xml:space="preserve"> PAGEREF _Toc19686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_Toc30538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5.3.1. </w:t>
          </w:r>
          <w:r>
            <w:t>安全防护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_Toc23176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5.3.2. </w:t>
          </w:r>
          <w:r>
            <w:t>合规管理</w:t>
          </w:r>
          <w:r>
            <w:tab/>
          </w:r>
          <w:r>
            <w:fldChar w:fldCharType="begin"/>
          </w:r>
          <w:r>
            <w:instrText xml:space="preserve"> PAGEREF _Toc23176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_Toc18047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 </w:t>
          </w:r>
          <w:r>
            <w:t>数据质量控制</w:t>
          </w:r>
          <w:r>
            <w:tab/>
          </w:r>
          <w:r>
            <w:fldChar w:fldCharType="begin"/>
          </w:r>
          <w:r>
            <w:instrText xml:space="preserve"> PAGEREF _Toc18047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5.4.1. </w:t>
          </w:r>
          <w:r>
            <w:t>质量指标</w:t>
          </w:r>
          <w:r>
            <w:tab/>
          </w:r>
          <w:r>
            <w:fldChar w:fldCharType="begin"/>
          </w:r>
          <w:r>
            <w:instrText xml:space="preserve"> PAGEREF _Toc19127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_Toc2595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5.4.2. </w:t>
          </w:r>
          <w:r>
            <w:t>质量监控</w:t>
          </w:r>
          <w:r>
            <w:tab/>
          </w:r>
          <w:r>
            <w:fldChar w:fldCharType="begin"/>
          </w:r>
          <w:r>
            <w:instrText xml:space="preserve"> PAGEREF _Toc2595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5.4.3. </w:t>
          </w:r>
          <w:r>
            <w:t>质量改进</w:t>
          </w:r>
          <w:r>
            <w:tab/>
          </w:r>
          <w:r>
            <w:fldChar w:fldCharType="begin"/>
          </w:r>
          <w:r>
            <w:instrText xml:space="preserve"> PAGEREF _Toc14928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_Toc9830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 </w:t>
          </w:r>
          <w:r>
            <w:t>数据共享与应用</w:t>
          </w:r>
          <w:r>
            <w:tab/>
          </w:r>
          <w:r>
            <w:fldChar w:fldCharType="begin"/>
          </w:r>
          <w:r>
            <w:instrText xml:space="preserve"> PAGEREF _Toc9830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5.5.1. </w:t>
          </w:r>
          <w:r>
            <w:t>数据共享</w:t>
          </w:r>
          <w:r>
            <w:tab/>
          </w:r>
          <w:r>
            <w:fldChar w:fldCharType="begin"/>
          </w:r>
          <w:r>
            <w:instrText xml:space="preserve"> PAGEREF _Toc21633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_Toc31374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5.5.2. </w:t>
          </w:r>
          <w:r>
            <w:t>数据应用</w:t>
          </w:r>
          <w:r>
            <w:tab/>
          </w:r>
          <w:r>
            <w:fldChar w:fldCharType="begin"/>
          </w:r>
          <w:r>
            <w:instrText xml:space="preserve"> PAGEREF _Toc31374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_Toc8444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 </w:t>
          </w:r>
          <w:r>
            <w:t>监督与审计</w:t>
          </w:r>
          <w:r>
            <w:tab/>
          </w:r>
          <w:r>
            <w:fldChar w:fldCharType="begin"/>
          </w:r>
          <w:r>
            <w:instrText xml:space="preserve"> PAGEREF _Toc8444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_Toc9958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5.6.1. </w:t>
          </w:r>
          <w:r>
            <w:t>内部监督</w:t>
          </w:r>
          <w:r>
            <w:tab/>
          </w:r>
          <w:r>
            <w:fldChar w:fldCharType="begin"/>
          </w:r>
          <w:r>
            <w:instrText xml:space="preserve"> PAGEREF _Toc9958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 </w:t>
          </w:r>
          <w:r>
            <w:t>制度评审与改进</w:t>
          </w:r>
          <w:r>
            <w:tab/>
          </w:r>
          <w:r>
            <w:fldChar w:fldCharType="begin"/>
          </w:r>
          <w:r>
            <w:instrText xml:space="preserve"> PAGEREF _Toc8378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_Toc27379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5.7.1. </w:t>
          </w:r>
          <w:r>
            <w:t>外部审计</w:t>
          </w:r>
          <w:r>
            <w:tab/>
          </w:r>
          <w:r>
            <w:fldChar w:fldCharType="begin"/>
          </w:r>
          <w:r>
            <w:instrText xml:space="preserve"> PAGEREF _Toc27379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5.8. </w:t>
          </w:r>
          <w:r>
            <w:t>培训与宣贯</w:t>
          </w:r>
          <w:r>
            <w:tab/>
          </w:r>
          <w:r>
            <w:fldChar w:fldCharType="begin"/>
          </w:r>
          <w:r>
            <w:instrText xml:space="preserve"> PAGEREF _Toc5594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_Toc9822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5.9. </w:t>
          </w:r>
          <w:r>
            <w:t>考核指标</w:t>
          </w:r>
          <w:r>
            <w:tab/>
          </w:r>
          <w:r>
            <w:fldChar w:fldCharType="begin"/>
          </w:r>
          <w:r>
            <w:instrText xml:space="preserve"> PAGEREF _Toc9822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_Toc30554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_Toc6718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附件</w:t>
          </w:r>
          <w:r>
            <w:tab/>
          </w:r>
          <w:r>
            <w:fldChar w:fldCharType="begin"/>
          </w:r>
          <w:r>
            <w:instrText xml:space="preserve"> PAGEREF _Toc6718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_Toc22462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记录</w:t>
          </w:r>
          <w:r>
            <w:tab/>
          </w:r>
          <w:r>
            <w:fldChar w:fldCharType="begin"/>
          </w:r>
          <w:r>
            <w:instrText xml:space="preserve"> PAGEREF _Toc22462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Lines w:val="0"/>
            <w:pageBreakBefore w:val="0"/>
            <w:widowControl w:val="0"/>
            <w:wordWrap/>
            <w:overflowPunct/>
            <w:bidi w:val="0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Lines w:val="0"/>
        <w:pageBreakBefore w:val="0"/>
        <w:widowControl w:val="0"/>
        <w:wordWrap/>
        <w:overflowPunct/>
        <w:bidi w:val="0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2" w:name="_Toc14632"/>
      <w:r>
        <w:t>目的</w:t>
      </w:r>
      <w:bookmarkEnd w:id="2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本制度旨在通过建立系统化的服务数据管理体系，实现服务数据的规范采集、安全存储、高效利用和合规管控，提升服务质量与效率，支撑服务过程改进和应急交付决策，保障服务数据资产的完整性与价值最大化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3" w:name="_Toc11971"/>
      <w:bookmarkStart w:id="4" w:name="_Toc10508"/>
      <w:r>
        <w:rPr>
          <w:rFonts w:hint="eastAsia"/>
          <w:lang w:val="en-US" w:eastAsia="zh-CN"/>
        </w:rPr>
        <w:t>原则</w:t>
      </w:r>
      <w:bookmarkEnd w:id="3"/>
      <w:bookmarkEnd w:id="4"/>
    </w:p>
    <w:p>
      <w:pPr>
        <w:pStyle w:val="a3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全面性原则：</w:t>
      </w:r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覆盖服务数据全生命周期各环节，确保无管理盲区。</w:t>
      </w:r>
    </w:p>
    <w:p>
      <w:pPr>
        <w:pStyle w:val="a3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准确性原则：</w:t>
      </w:r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保证服务数据真实、准确、完整，为决策提供可靠依据。</w:t>
      </w:r>
    </w:p>
    <w:p>
      <w:pPr>
        <w:pStyle w:val="a3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安全性原则：</w:t>
      </w:r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采取必要的技术和管理措施，保障服务数据不被泄露、篡改或滥用。</w:t>
      </w:r>
    </w:p>
    <w:p>
      <w:pPr>
        <w:pStyle w:val="a3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合规性原则：</w:t>
      </w:r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</w:pPr>
      <w:r>
        <w:t>遵循国家相关法律法规及行业标准，规范服务数据的管理与使用。</w:t>
      </w:r>
    </w:p>
    <w:p>
      <w:pPr>
        <w:pStyle w:val="a3"/>
        <w:keepLines w:val="0"/>
        <w:pageBreakBefore w:val="0"/>
        <w:widowControl w:val="0"/>
        <w:numPr>
          <w:ilvl w:val="0"/>
          <w:numId w:val="2"/>
        </w:numPr>
        <w:wordWrap/>
        <w:overflowPunct/>
        <w:bidi w:val="0"/>
        <w:ind w:left="425" w:hanging="425" w:leftChars="0" w:firstLineChars="0"/>
      </w:pPr>
      <w:r>
        <w:t>实用性原则：</w:t>
      </w:r>
    </w:p>
    <w:p>
      <w:pPr>
        <w:pStyle w:val="a3"/>
        <w:keepLines w:val="0"/>
        <w:pageBreakBefore w:val="0"/>
        <w:widowControl w:val="0"/>
        <w:numPr>
          <w:ilvl w:val="0"/>
          <w:numId w:val="0"/>
        </w:numPr>
        <w:wordWrap/>
        <w:overflowPunct/>
        <w:bidi w:val="0"/>
        <w:ind w:leftChars="0"/>
      </w:pPr>
      <w:r>
        <w:t>服务数据管理流程应简洁高效，满足服务优化和业务发展需求。</w:t>
      </w:r>
    </w:p>
    <w:p>
      <w:pPr>
        <w:pStyle w:val="1"/>
        <w:keepLines w:val="0"/>
        <w:pageBreakBefore w:val="0"/>
        <w:widowControl w:val="0"/>
        <w:wordWrap/>
        <w:overflowPunct/>
        <w:bidi w:val="0"/>
      </w:pPr>
      <w:bookmarkStart w:id="5" w:name="_Toc12891"/>
      <w:r>
        <w:rPr>
          <w:rFonts w:hint="eastAsia"/>
          <w:lang w:val="en-US" w:eastAsia="zh-CN"/>
        </w:rPr>
        <w:t>适用</w:t>
      </w:r>
      <w:r>
        <w:t>范围</w:t>
      </w:r>
      <w:bookmarkEnd w:id="5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适用于组织内所有与服务活动相关的数据，包括但不限于服务需求数据、响应数据、执行数据、结果数据、客户反馈数据、应急交付数据等，涵盖数据从产生、流转、使用到销毁的全生命周期，涉及所有参与服务数据管理的部门及人员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" w:name="_Toc27469"/>
      <w:r>
        <w:rPr>
          <w:rFonts w:hint="eastAsia"/>
          <w:lang w:val="en-US" w:eastAsia="zh-CN"/>
        </w:rPr>
        <w:t>岗位职责</w:t>
      </w:r>
      <w:bookmarkEnd w:id="6"/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7" w:name="_Toc25209"/>
      <w:r>
        <w:rPr>
          <w:rFonts w:hint="eastAsia"/>
          <w:lang w:val="en-US" w:eastAsia="zh-CN"/>
        </w:rPr>
        <w:t>运维部</w:t>
      </w:r>
      <w:bookmarkEnd w:id="7"/>
    </w:p>
    <w:p>
      <w:pPr>
        <w:pStyle w:val="a3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</w:pPr>
      <w:r>
        <w:t>负责服务数据管理系统的建设、维护和技术支持，保障系统安全稳定运行，提供数据存储、处理、分析等技术服务。</w:t>
      </w:r>
    </w:p>
    <w:p>
      <w:pPr>
        <w:pStyle w:val="a3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t>负责制定和完善服务数据管理制度、流程和标准，组织开展数据治理工作，监督制度的执行情况</w:t>
      </w:r>
      <w:r>
        <w:rPr>
          <w:rFonts w:hint="eastAsia"/>
          <w:lang w:val="en-US" w:eastAsia="zh-CN"/>
        </w:rPr>
        <w:t>.</w:t>
      </w:r>
    </w:p>
    <w:p>
      <w:pPr>
        <w:pStyle w:val="a3"/>
        <w:keepLines w:val="0"/>
        <w:pageBreakBefore w:val="0"/>
        <w:widowControl w:val="0"/>
        <w:numPr>
          <w:ilvl w:val="0"/>
          <w:numId w:val="3"/>
        </w:numPr>
        <w:wordWrap/>
        <w:overflowPunct/>
        <w:bidi w:val="0"/>
        <w:ind w:left="425" w:hanging="425" w:leftChars="0" w:firstLineChars="0"/>
        <w:rPr>
          <w:rFonts w:ascii="宋体" w:hAnsi="宋体" w:cs="宋体" w:hint="eastAsia"/>
          <w:spacing w:val="-1"/>
          <w:szCs w:val="24"/>
          <w:lang w:val="en-US" w:eastAsia="zh-CN"/>
        </w:rPr>
      </w:pPr>
      <w:r>
        <w:t>负责本部门服务数据的采集、整理、上报和使用，确保数据质量。</w:t>
      </w:r>
    </w:p>
    <w:p>
      <w:pPr>
        <w:pStyle w:val="2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8" w:name="_Toc3932"/>
      <w:r>
        <w:rPr>
          <w:rFonts w:hint="eastAsia"/>
          <w:lang w:val="en-US" w:eastAsia="zh-CN"/>
        </w:rPr>
        <w:t>研发部</w:t>
      </w:r>
      <w:bookmarkEnd w:id="8"/>
    </w:p>
    <w:p>
      <w:pPr>
        <w:pStyle w:val="a1"/>
        <w:keepLines w:val="0"/>
        <w:pageBreakBefore w:val="0"/>
        <w:widowControl w:val="0"/>
        <w:numPr>
          <w:ilvl w:val="0"/>
          <w:numId w:val="4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t>负责本部门服务数据的采集、整理、上报和使用，确保数据质量。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Style w:val="1Char"/>
          <w:rFonts w:eastAsia="宋体" w:hint="default"/>
          <w:lang w:val="en-US" w:eastAsia="zh-CN"/>
        </w:rPr>
      </w:pPr>
      <w:bookmarkStart w:id="9" w:name="bookmark3"/>
      <w:bookmarkEnd w:id="9"/>
      <w:bookmarkStart w:id="10" w:name="_Toc10289"/>
      <w:bookmarkStart w:id="11" w:name="_Toc17424"/>
      <w:r>
        <w:rPr>
          <w:rFonts w:hint="eastAsia"/>
          <w:lang w:val="en-US" w:eastAsia="zh-CN"/>
        </w:rPr>
        <w:t>服务数据管理</w:t>
      </w:r>
      <w:bookmarkEnd w:id="10"/>
      <w:bookmarkEnd w:id="11"/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5142"/>
      <w:r>
        <w:rPr>
          <w:rFonts w:hint="eastAsia"/>
          <w:lang w:val="en-US" w:eastAsia="zh-CN"/>
        </w:rPr>
        <w:t>服务数据定义</w:t>
      </w:r>
      <w:bookmarkEnd w:id="12"/>
    </w:p>
    <w:p>
      <w:pPr>
        <w:pStyle w:val="3"/>
        <w:bidi w:val="0"/>
        <w:rPr>
          <w:rFonts w:hint="default"/>
          <w:lang w:val="en-US" w:eastAsia="zh-CN"/>
        </w:rPr>
      </w:pPr>
      <w:bookmarkStart w:id="13" w:name="_Toc30231"/>
      <w:r>
        <w:rPr>
          <w:rFonts w:hint="eastAsia"/>
          <w:lang w:val="en-US" w:eastAsia="zh-CN"/>
        </w:rPr>
        <w:t>服务数据分类</w:t>
      </w:r>
      <w:bookmarkEnd w:id="1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根据服务数据的来源和用途，将服务数据分为以下六类：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服务响应数据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服务执行数据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服务结果数据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客户反馈数据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应急交付数据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4" w:name="_Toc1348"/>
      <w:r>
        <w:rPr>
          <w:rFonts w:hint="eastAsia"/>
          <w:lang w:val="en-US" w:eastAsia="zh-CN"/>
        </w:rPr>
        <w:t>数据内容与格式定义</w:t>
      </w:r>
      <w:bookmarkEnd w:id="14"/>
    </w:p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服务需求数据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6"/>
        <w:gridCol w:w="3562"/>
        <w:gridCol w:w="352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3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数据项</w:t>
            </w:r>
          </w:p>
        </w:tc>
        <w:tc>
          <w:tcPr>
            <w:tcW w:w="356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格式要求</w:t>
            </w:r>
          </w:p>
        </w:tc>
        <w:tc>
          <w:tcPr>
            <w:tcW w:w="35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需求编号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REQ-YYYYMMDD-XXXX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自动生成，XXXX为流水号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需求类型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服务请求/事件/变更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从预定义字典中选择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紧急程度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高/中/低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根据影响范围确定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客户名称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文本，不超过100字符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客户单位全称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需求描述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文本，不超过500字符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详细描述需求内容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提交时间</w:t>
            </w:r>
          </w:p>
        </w:tc>
        <w:tc>
          <w:tcPr>
            <w:tcW w:w="356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YYYY-MM-DD HH:MM</w:t>
            </w:r>
          </w:p>
        </w:tc>
        <w:tc>
          <w:tcPr>
            <w:tcW w:w="35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系统自动生成</w:t>
            </w:r>
          </w:p>
        </w:tc>
      </w:tr>
    </w:tbl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服务响应数据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9"/>
        <w:gridCol w:w="3661"/>
        <w:gridCol w:w="342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4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数据项</w:t>
            </w:r>
          </w:p>
        </w:tc>
        <w:tc>
          <w:tcPr>
            <w:tcW w:w="366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格式要求</w:t>
            </w:r>
          </w:p>
        </w:tc>
        <w:tc>
          <w:tcPr>
            <w:tcW w:w="34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响应编号</w:t>
            </w:r>
          </w:p>
        </w:tc>
        <w:tc>
          <w:tcPr>
            <w:tcW w:w="36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RESP-YYYYMMDD-XXXX</w:t>
            </w:r>
          </w:p>
        </w:tc>
        <w:tc>
          <w:tcPr>
            <w:tcW w:w="34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自动生成，关联需求编号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受理人</w:t>
            </w:r>
          </w:p>
        </w:tc>
        <w:tc>
          <w:tcPr>
            <w:tcW w:w="36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文本，不超过50字符</w:t>
            </w:r>
          </w:p>
        </w:tc>
        <w:tc>
          <w:tcPr>
            <w:tcW w:w="34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服务台受理人员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受理时间</w:t>
            </w:r>
          </w:p>
        </w:tc>
        <w:tc>
          <w:tcPr>
            <w:tcW w:w="36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YYYY-MM-DD HH:MM</w:t>
            </w:r>
          </w:p>
        </w:tc>
        <w:tc>
          <w:tcPr>
            <w:tcW w:w="34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系统自动生成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响应方式</w:t>
            </w:r>
          </w:p>
        </w:tc>
        <w:tc>
          <w:tcPr>
            <w:tcW w:w="366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电话/邮件/现场/远程</w:t>
            </w:r>
          </w:p>
        </w:tc>
        <w:tc>
          <w:tcPr>
            <w:tcW w:w="34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从预定义字典中选择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366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文本，不超过50字符</w:t>
            </w:r>
          </w:p>
        </w:tc>
        <w:tc>
          <w:tcPr>
            <w:tcW w:w="34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负责处理的技术人员</w:t>
            </w:r>
          </w:p>
        </w:tc>
      </w:tr>
    </w:tbl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服务执行数据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62"/>
        <w:gridCol w:w="3579"/>
        <w:gridCol w:w="348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数据项</w:t>
            </w:r>
          </w:p>
        </w:tc>
        <w:tc>
          <w:tcPr>
            <w:tcW w:w="35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格式要求</w:t>
            </w:r>
          </w:p>
        </w:tc>
        <w:tc>
          <w:tcPr>
            <w:tcW w:w="34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WO-YYYYMMDD-XXXX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自动生成，关联响应编号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执行人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文本，不超过50字符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实际执行人员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开始时间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YYYY-MM-DD HH:MM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开始处理时间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完成时间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YYYY-MM-DD HH:MM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处理完成时间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处理步骤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文本，不超过500字符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简要记录处理过程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46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处理结果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成功/部分成功/失败</w:t>
            </w:r>
          </w:p>
        </w:tc>
        <w:tc>
          <w:tcPr>
            <w:tcW w:w="34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处理结果状态</w:t>
            </w:r>
          </w:p>
        </w:tc>
      </w:tr>
    </w:tbl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客户反馈</w:t>
      </w:r>
      <w:r>
        <w:rPr>
          <w:rFonts w:hint="default"/>
          <w:lang w:val="en-US" w:eastAsia="zh-CN"/>
        </w:rPr>
        <w:t>数据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9"/>
        <w:gridCol w:w="3356"/>
        <w:gridCol w:w="343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数据项</w:t>
            </w:r>
          </w:p>
        </w:tc>
        <w:tc>
          <w:tcPr>
            <w:tcW w:w="335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格式要求</w:t>
            </w:r>
          </w:p>
        </w:tc>
        <w:tc>
          <w:tcPr>
            <w:tcW w:w="343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说明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反馈编号</w:t>
            </w:r>
          </w:p>
        </w:tc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FB-YYYYMMDD-XXXX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自动生成，关联工单编号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满意度评分</w:t>
            </w:r>
          </w:p>
        </w:tc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0-100整数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满意度调查得分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反馈内容</w:t>
            </w:r>
          </w:p>
        </w:tc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文本，不超过300字符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客户反馈具体内容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处理结果</w:t>
            </w:r>
          </w:p>
        </w:tc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文本，不超过200字符</w:t>
            </w:r>
          </w:p>
        </w:tc>
        <w:tc>
          <w:tcPr>
            <w:tcW w:w="343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投诉处理结果</w:t>
            </w:r>
          </w:p>
        </w:tc>
      </w:tr>
    </w:tbl>
    <w:p>
      <w:pPr>
        <w:pStyle w:val="a1"/>
        <w:numPr>
          <w:ilvl w:val="0"/>
          <w:numId w:val="5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</w:t>
      </w:r>
      <w:r>
        <w:rPr>
          <w:rFonts w:hint="eastAsia"/>
          <w:lang w:val="en-US" w:eastAsia="zh-CN"/>
        </w:rPr>
        <w:t>编码规则</w:t>
      </w:r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3858"/>
        <w:gridCol w:w="314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1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数据类型</w:t>
            </w:r>
          </w:p>
        </w:tc>
        <w:tc>
          <w:tcPr>
            <w:tcW w:w="38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编码规则</w:t>
            </w:r>
          </w:p>
        </w:tc>
        <w:tc>
          <w:tcPr>
            <w:tcW w:w="314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示例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需求编号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REQ-YYYYMMDD-XXXX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REQ-20251210-0023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响应编号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RESP-YYYYMMDD-XXXX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RESP-20251210-0015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1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工单编号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WO-YYYYMMDD-XXXX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WO-20251210-0056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51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反馈编号</w:t>
            </w:r>
          </w:p>
        </w:tc>
        <w:tc>
          <w:tcPr>
            <w:tcW w:w="38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FB-YYYYMMDD-XXXX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75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FB-20251210-0003</w:t>
            </w:r>
          </w:p>
        </w:tc>
      </w:tr>
    </w:tbl>
    <w:p>
      <w:pPr>
        <w:pStyle w:val="a1"/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15" w:name="_Toc1389"/>
      <w:r>
        <w:t>服务数据全生命周期管理</w:t>
      </w:r>
      <w:bookmarkEnd w:id="15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服务数据生命周期主要包括：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数据采集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数据存储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数据处理与转换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数据使用与分享</w:t>
      </w:r>
    </w:p>
    <w:p>
      <w:pPr>
        <w:pStyle w:val="a1"/>
        <w:keepLines w:val="0"/>
        <w:pageBreakBefore w:val="0"/>
        <w:widowControl w:val="0"/>
        <w:numPr>
          <w:ilvl w:val="0"/>
          <w:numId w:val="6"/>
        </w:numPr>
        <w:wordWrap/>
        <w:overflowPunct/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数据销毁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6" w:name="bookmark9"/>
      <w:bookmarkEnd w:id="16"/>
      <w:bookmarkStart w:id="17" w:name="_Toc29392"/>
      <w:r>
        <w:t>数据采集</w:t>
      </w:r>
      <w:bookmarkEnd w:id="17"/>
    </w:p>
    <w:p>
      <w:pPr>
        <w:pStyle w:val="a3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采集范围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包括服务需求信息（需求内容、紧急程度、客户信息等）、服务响应信息（响应时间、响应方式、响应人员等）、服务执行信息（执行步骤、资源消耗、进度情况等）、服务结果信息（交付成果、验收情况、服务成本等）、客户反馈信息（满意度评分、意见建议等）、应急交付信息（应急场景、处置措施、交付时效等）。</w:t>
      </w:r>
    </w:p>
    <w:p>
      <w:pPr>
        <w:pStyle w:val="a3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采集标准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明确各类服务数据的采集字段、数据格式、计量单位等，确保数据的一致性和可比性。例如，服务响应时间精确到分钟，满意度评分采用百分制。</w:t>
      </w:r>
    </w:p>
    <w:p>
      <w:pPr>
        <w:pStyle w:val="a3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采集方式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结合自动化采集和人工采集两种方式。对于可通过系统自动获取的数据（如服务系统中的响应时间、执行进度等），由运维部配置自动采集规则；对于需人工录入的数据（如客户口头反馈、现场服务情况等），由业务人员通过指定系统或表单及时、准确录入。</w:t>
      </w:r>
    </w:p>
    <w:p>
      <w:pPr>
        <w:pStyle w:val="a3"/>
        <w:keepLines w:val="0"/>
        <w:pageBreakBefore w:val="0"/>
        <w:widowControl w:val="0"/>
        <w:numPr>
          <w:ilvl w:val="0"/>
          <w:numId w:val="7"/>
        </w:numPr>
        <w:wordWrap/>
        <w:overflowPunct/>
        <w:bidi w:val="0"/>
      </w:pPr>
      <w:r>
        <w:t>采集责任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业务人员为数据采集的直接责任人，确保在数据产生后24小时内完成采集录入工作，</w:t>
      </w:r>
      <w:r>
        <w:rPr>
          <w:rFonts w:hint="eastAsia"/>
          <w:lang w:eastAsia="zh-CN"/>
        </w:rPr>
        <w:t>运维部</w:t>
      </w:r>
      <w:r>
        <w:t>定期检查采集完成情况。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8" w:name="_Toc15425"/>
      <w:r>
        <w:t>数据存储</w:t>
      </w:r>
      <w:bookmarkEnd w:id="18"/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存储要求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采用安全可靠的存储介质和系统，满足数据存储容量、性能和可靠性需求。根据数据重要程度和访问频率，合理规划存储架构，对重要数据实行多副本存</w:t>
      </w:r>
      <w:r>
        <w:rPr>
          <w:rFonts w:hint="eastAsia"/>
          <w:lang w:eastAsia="zh-CN"/>
        </w:rPr>
        <w:t>、</w:t>
      </w:r>
      <w:r>
        <w:t>储和异地备份。</w:t>
      </w:r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存储分类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按照数据类型和敏感程度进行分类存储。敏感数据（如客户隐私信息、核心业务数据）需进行加密存储，普通数据可采用常规存储方式。</w:t>
      </w:r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存储期限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根据数据的价值和相关规定，确定不同类型服务数据的存储期限。服务需求、结果等关键数据长期存储；应急交付数据存储至应急事件处理完毕后5 年；其他一般性数据存储3-5年，超过存储期限的数据按规定进行归档或销毁。</w:t>
      </w:r>
    </w:p>
    <w:p>
      <w:pPr>
        <w:pStyle w:val="a3"/>
        <w:keepLines w:val="0"/>
        <w:pageBreakBefore w:val="0"/>
        <w:widowControl w:val="0"/>
        <w:numPr>
          <w:ilvl w:val="0"/>
          <w:numId w:val="8"/>
        </w:numPr>
        <w:wordWrap/>
        <w:overflowPunct/>
        <w:bidi w:val="0"/>
        <w:ind w:left="425" w:hanging="425" w:leftChars="0" w:firstLineChars="0"/>
      </w:pPr>
      <w:r>
        <w:t>数据备份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运维部负责制定数据备份计划，定期对服务数据进行备份，备份频率至少为每日一次。备份数据需进行加密处理，并存储在安全的地点，定期进行备份恢复测试，确保备份数据的可用性。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19" w:name="bookmark11"/>
      <w:bookmarkEnd w:id="19"/>
      <w:bookmarkStart w:id="20" w:name="_Toc22930"/>
      <w:r>
        <w:t>数据处理与转换</w:t>
      </w:r>
      <w:bookmarkEnd w:id="20"/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数据清洗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运维部</w:t>
      </w:r>
      <w:r>
        <w:t>定期对服务数据进行清洗，去除重复数据、纠正错误数据、补充缺失数据，确保数据的准确性和完整性。对于清洗过程中发现的问题，及时反馈给相关业务部门进行整改。</w:t>
      </w:r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数据转换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根据数据分析和应用需求，对服务数据进行格式转换、汇总计算等处理，形成符合要求的数据形式。例如，将分散的客户反馈数据汇总成月度满意度报告。</w:t>
      </w:r>
    </w:p>
    <w:p>
      <w:pPr>
        <w:pStyle w:val="a3"/>
        <w:keepLines w:val="0"/>
        <w:pageBreakBefore w:val="0"/>
        <w:widowControl w:val="0"/>
        <w:numPr>
          <w:ilvl w:val="0"/>
          <w:numId w:val="9"/>
        </w:numPr>
        <w:wordWrap/>
        <w:overflowPunct/>
        <w:bidi w:val="0"/>
        <w:ind w:left="425" w:hanging="425" w:leftChars="0" w:firstLineChars="0"/>
      </w:pPr>
      <w:r>
        <w:t>数据整合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整合不同来源、不同格式的服务数据，消除数据孤岛，形成统一的服务数据视图，为数据分析和应用提供支持。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1" w:name="bookmark12"/>
      <w:bookmarkEnd w:id="21"/>
      <w:bookmarkStart w:id="22" w:name="_Toc18783"/>
      <w:bookmarkStart w:id="23" w:name="_Toc16409"/>
      <w:r>
        <w:t>数据使用与共享</w:t>
      </w:r>
      <w:bookmarkEnd w:id="22"/>
      <w:bookmarkEnd w:id="23"/>
    </w:p>
    <w:p>
      <w:pPr>
        <w:pStyle w:val="a3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数据使用权限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基于“最小权限”原则，为不同部门和人员分配相应的数据使用权限。</w:t>
      </w:r>
      <w:r>
        <w:rPr>
          <w:rFonts w:hint="eastAsia"/>
          <w:lang w:val="en-US" w:eastAsia="zh-CN"/>
        </w:rPr>
        <w:t>运维相关部门</w:t>
      </w:r>
      <w:r>
        <w:t>可使用本部门相关的服务数据；管理部门可使用全局服务数据进行分析和决策；外部机构如需使用服务数据，需经</w:t>
      </w:r>
      <w:r>
        <w:rPr>
          <w:rFonts w:hint="eastAsia"/>
          <w:lang w:val="en-US" w:eastAsia="zh-CN"/>
        </w:rPr>
        <w:t>管理层</w:t>
      </w:r>
      <w:r>
        <w:t>审批，并签订数据使用协议。</w:t>
      </w:r>
    </w:p>
    <w:p>
      <w:pPr>
        <w:pStyle w:val="a3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数据使用规范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使用服务数据时，应遵守相关法律法规和组织规定，不得用于未经授权的用途。严禁泄露、篡改、出售服务数据，对敏感数据的使用需进行严格审批和记录。</w:t>
      </w:r>
    </w:p>
    <w:p>
      <w:pPr>
        <w:pStyle w:val="a3"/>
        <w:keepLines w:val="0"/>
        <w:pageBreakBefore w:val="0"/>
        <w:widowControl w:val="0"/>
        <w:numPr>
          <w:ilvl w:val="0"/>
          <w:numId w:val="10"/>
        </w:numPr>
        <w:wordWrap/>
        <w:overflowPunct/>
        <w:bidi w:val="0"/>
      </w:pPr>
      <w:r>
        <w:t>数据共享机制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建立数据共享平台，实现各部门之间服务数据的有序共享。数据共享需通过数据共享平台进行，共享过程中需对数据进行脱敏处理，保护敏感信息。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数据提供部门负责确保共享数据的质量，数据使用部门对共享数据的合理使用负责。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4" w:name="_Toc17578"/>
      <w:r>
        <w:t>数据销毁</w:t>
      </w:r>
      <w:bookmarkEnd w:id="24"/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销毁条件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超过存储期限且无保留价值的数据、经批准需要销毁的过期备份数据、以及因业务调整等原因不再需要的数据，可进行销毁。</w:t>
      </w:r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销毁流程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由数据使用部门提出数据销毁申请，说明销毁数据的类型、数量、原因和销毁方式，经</w:t>
      </w:r>
      <w:r>
        <w:rPr>
          <w:rFonts w:hint="eastAsia"/>
          <w:lang w:eastAsia="zh-CN"/>
        </w:rPr>
        <w:t>运维部</w:t>
      </w:r>
      <w:r>
        <w:rPr>
          <w:rFonts w:hint="eastAsia"/>
          <w:lang w:val="en-US" w:eastAsia="zh-CN"/>
        </w:rPr>
        <w:t>经理</w:t>
      </w:r>
      <w:r>
        <w:t>审核，报</w:t>
      </w:r>
      <w:r>
        <w:rPr>
          <w:rFonts w:hint="eastAsia"/>
          <w:lang w:val="en-US" w:eastAsia="zh-CN"/>
        </w:rPr>
        <w:t>总经理</w:t>
      </w:r>
      <w:r>
        <w:t>批准后，由运维部按照规定的销毁方式进行销毁。</w:t>
      </w:r>
    </w:p>
    <w:p>
      <w:pPr>
        <w:pStyle w:val="a3"/>
        <w:keepLines w:val="0"/>
        <w:pageBreakBefore w:val="0"/>
        <w:widowControl w:val="0"/>
        <w:numPr>
          <w:ilvl w:val="0"/>
          <w:numId w:val="11"/>
        </w:numPr>
        <w:wordWrap/>
        <w:overflowPunct/>
        <w:bidi w:val="0"/>
      </w:pPr>
      <w:r>
        <w:t>销毁方式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根据数据存储介质的不同，采用相应的销毁方式。电子数据可采用数据覆盖、物理销毁存储介质等方式；纸质数据采用粉碎等方式。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25" w:name="_Toc19686"/>
      <w:bookmarkStart w:id="26" w:name="_Toc8095"/>
      <w:r>
        <w:t>数据安全与合规</w:t>
      </w:r>
      <w:bookmarkEnd w:id="25"/>
      <w:bookmarkEnd w:id="26"/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7" w:name="bookmark15"/>
      <w:bookmarkEnd w:id="27"/>
      <w:bookmarkStart w:id="28" w:name="_Toc30538"/>
      <w:r>
        <w:t>安全防护</w:t>
      </w:r>
      <w:bookmarkEnd w:id="28"/>
    </w:p>
    <w:p>
      <w:pPr>
        <w:pStyle w:val="a3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访问控制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建立严格的访问控制机制，对服务数据的访问进行身份认证和权限管理。采用多因素认证方式（如密码 + 动态令牌），限制未授权人员访问数据。定期对访问权限进行审查和调整，确保权限与职责相符。</w:t>
      </w:r>
    </w:p>
    <w:p>
      <w:pPr>
        <w:pStyle w:val="a3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数据加密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对敏感服务数据在传输和存储过程中进行加密处理，采用国家认可的加密算法（如AES-256），防止数据泄露。</w:t>
      </w:r>
    </w:p>
    <w:p>
      <w:pPr>
        <w:pStyle w:val="a3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安全审计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运维部经理</w:t>
      </w:r>
      <w:r>
        <w:t>负责对服务数据的访问、操作等行为进行安全审计，记录审计日志，定期分析审计结果，及时发现和处理安全隐患。</w:t>
      </w:r>
    </w:p>
    <w:p>
      <w:pPr>
        <w:pStyle w:val="a3"/>
        <w:keepLines w:val="0"/>
        <w:pageBreakBefore w:val="0"/>
        <w:widowControl w:val="0"/>
        <w:numPr>
          <w:ilvl w:val="0"/>
          <w:numId w:val="12"/>
        </w:numPr>
        <w:wordWrap/>
        <w:overflowPunct/>
        <w:bidi w:val="0"/>
      </w:pPr>
      <w:r>
        <w:t>应急响应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制定数据安全应急响应预案，明确应急处理流程和责任分工。在发生数据泄露、篡改等安全事件时，及时启动应急预案，采取措施防止事态扩大，并按照规定向相关部门报告。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29" w:name="bookmark16"/>
      <w:bookmarkEnd w:id="29"/>
      <w:bookmarkStart w:id="30" w:name="_Toc23176"/>
      <w:r>
        <w:t>合规管理</w:t>
      </w:r>
      <w:bookmarkEnd w:id="30"/>
    </w:p>
    <w:p>
      <w:pPr>
        <w:pStyle w:val="a3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法律法规遵循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严格遵守《中华人民共和国数据安全法》《中华人民共和国个人信息保护法》等相关法律法规，确保服务数据管理活动合法合规。</w:t>
      </w:r>
    </w:p>
    <w:p>
      <w:pPr>
        <w:pStyle w:val="a3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行业标准执行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遵循行业内相关数据管理标准和规范，结合组织实际情况，制定具体的实施细则。</w:t>
      </w:r>
    </w:p>
    <w:p>
      <w:pPr>
        <w:pStyle w:val="a3"/>
        <w:keepLines w:val="0"/>
        <w:pageBreakBefore w:val="0"/>
        <w:widowControl w:val="0"/>
        <w:numPr>
          <w:ilvl w:val="0"/>
          <w:numId w:val="13"/>
        </w:numPr>
        <w:wordWrap/>
        <w:overflowPunct/>
        <w:bidi w:val="0"/>
      </w:pPr>
      <w:r>
        <w:t>隐私保护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eastAsia="zh-CN"/>
        </w:rPr>
      </w:pPr>
      <w:r>
        <w:t>加强对客户隐私信息的保护，在数据采集、使用、共享等环节，明确隐私保护要求，获得客户授权，不得非法收集、使用客户隐私信息</w:t>
      </w:r>
      <w:r>
        <w:rPr>
          <w:rFonts w:hint="eastAsia"/>
          <w:lang w:eastAsia="zh-CN"/>
        </w:rPr>
        <w:t>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31" w:name="_Toc18047"/>
      <w:r>
        <w:t>数据质量控制</w:t>
      </w:r>
      <w:bookmarkEnd w:id="31"/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32" w:name="bookmark18"/>
      <w:bookmarkEnd w:id="32"/>
      <w:bookmarkStart w:id="33" w:name="_Toc19127"/>
      <w:r>
        <w:t>质量指标</w:t>
      </w:r>
      <w:bookmarkEnd w:id="33"/>
    </w:p>
    <w:p>
      <w:pPr>
        <w:pStyle w:val="a3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准确性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服务数据与实际情况的符合程度，错误数据占比不超过 1%。</w:t>
      </w:r>
    </w:p>
    <w:p>
      <w:pPr>
        <w:pStyle w:val="a3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完整性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数据采集的完整程度，关键数据字段缺失率不超过 2%。</w:t>
      </w:r>
    </w:p>
    <w:p>
      <w:pPr>
        <w:pStyle w:val="a3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一致性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同一数据在不同系统和场景中的一致性，数据不一致率不超过 1%。</w:t>
      </w:r>
    </w:p>
    <w:p>
      <w:pPr>
        <w:pStyle w:val="a3"/>
        <w:keepLines w:val="0"/>
        <w:pageBreakBefore w:val="0"/>
        <w:widowControl w:val="0"/>
        <w:numPr>
          <w:ilvl w:val="0"/>
          <w:numId w:val="14"/>
        </w:numPr>
        <w:wordWrap/>
        <w:overflowPunct/>
        <w:bidi w:val="0"/>
      </w:pPr>
      <w:r>
        <w:t>及时性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数据采集和更新的及时程度，数据延迟采集率不超过 5%。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34" w:name="bookmark19"/>
      <w:bookmarkEnd w:id="34"/>
      <w:bookmarkStart w:id="35" w:name="_Toc2595"/>
      <w:r>
        <w:t>质量监控</w:t>
      </w:r>
      <w:bookmarkEnd w:id="35"/>
    </w:p>
    <w:p>
      <w:pPr>
        <w:pStyle w:val="a3"/>
        <w:keepLines w:val="0"/>
        <w:pageBreakBefore w:val="0"/>
        <w:widowControl w:val="0"/>
        <w:numPr>
          <w:ilvl w:val="0"/>
          <w:numId w:val="15"/>
        </w:numPr>
        <w:wordWrap/>
        <w:overflowPunct/>
        <w:bidi w:val="0"/>
        <w:ind w:left="425" w:hanging="425" w:leftChars="0" w:firstLineChars="0"/>
      </w:pPr>
      <w:r>
        <w:t>日常监控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运维部</w:t>
      </w:r>
      <w:r>
        <w:t>通过数据管理系统对服务数据质量进行实时监控，设置数据质量预警阈值，当数据质量指标超出阈值时，及时发出预警信息。</w:t>
      </w:r>
    </w:p>
    <w:p>
      <w:pPr>
        <w:pStyle w:val="a3"/>
        <w:keepLines w:val="0"/>
        <w:pageBreakBefore w:val="0"/>
        <w:widowControl w:val="0"/>
        <w:numPr>
          <w:ilvl w:val="0"/>
          <w:numId w:val="15"/>
        </w:numPr>
        <w:wordWrap/>
        <w:overflowPunct/>
        <w:bidi w:val="0"/>
        <w:ind w:left="425" w:hanging="425" w:leftChars="0" w:firstLineChars="0"/>
      </w:pPr>
      <w:r>
        <w:t>定期检查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运维部</w:t>
      </w:r>
      <w:r>
        <w:t>每月组织一次服务数据质量检查，对数据准确性、完整性、一致性等进行全面检查，形成质量检查报告。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36" w:name="bookmark20"/>
      <w:bookmarkEnd w:id="36"/>
      <w:bookmarkStart w:id="37" w:name="_Toc14928"/>
      <w:r>
        <w:t>质量改进</w:t>
      </w:r>
      <w:bookmarkEnd w:id="37"/>
    </w:p>
    <w:p>
      <w:pPr>
        <w:pStyle w:val="a3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425" w:hanging="425" w:leftChars="0" w:firstLineChars="0"/>
      </w:pPr>
      <w:r>
        <w:t>问题整改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对监控和检查中发现的数据质量问题，</w:t>
      </w:r>
      <w:r>
        <w:rPr>
          <w:rFonts w:hint="eastAsia"/>
          <w:lang w:eastAsia="zh-CN"/>
        </w:rPr>
        <w:t>运维部</w:t>
      </w:r>
      <w:r>
        <w:t>向相关业务部门下达整改通知，明确整改要求和期限，跟踪整改情况，确保问题及时解决。</w:t>
      </w:r>
    </w:p>
    <w:p>
      <w:pPr>
        <w:pStyle w:val="a3"/>
        <w:keepLines w:val="0"/>
        <w:pageBreakBefore w:val="0"/>
        <w:widowControl w:val="0"/>
        <w:numPr>
          <w:ilvl w:val="0"/>
          <w:numId w:val="16"/>
        </w:numPr>
        <w:wordWrap/>
        <w:overflowPunct/>
        <w:bidi w:val="0"/>
        <w:ind w:left="425" w:hanging="425" w:leftChars="0" w:firstLineChars="0"/>
      </w:pPr>
      <w:r>
        <w:t>流程优化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分析数据质量问题产生的原因，针对数据采集、处理等环节存在的漏洞，优化相关流程和制度，从源头上提高数据质量。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38" w:name="bookmark21"/>
      <w:bookmarkEnd w:id="38"/>
      <w:bookmarkStart w:id="39" w:name="_Toc9830"/>
      <w:r>
        <w:t>数据共享与应用</w:t>
      </w:r>
      <w:bookmarkEnd w:id="39"/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40" w:name="bookmark22"/>
      <w:bookmarkEnd w:id="40"/>
      <w:bookmarkStart w:id="41" w:name="_Toc21633"/>
      <w:r>
        <w:t>数据共享</w:t>
      </w:r>
      <w:bookmarkEnd w:id="41"/>
    </w:p>
    <w:p>
      <w:pPr>
        <w:pStyle w:val="a3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425" w:hanging="425" w:leftChars="0" w:firstLineChars="0"/>
      </w:pPr>
      <w:r>
        <w:t>共享范围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在组织内部，根据业务需求和权限设置，实现服务数据在各部门之间的合理共享，提高数据利用效率。</w:t>
      </w:r>
    </w:p>
    <w:p>
      <w:pPr>
        <w:pStyle w:val="a3"/>
        <w:keepLines w:val="0"/>
        <w:pageBreakBefore w:val="0"/>
        <w:widowControl w:val="0"/>
        <w:numPr>
          <w:ilvl w:val="0"/>
          <w:numId w:val="17"/>
        </w:numPr>
        <w:wordWrap/>
        <w:overflowPunct/>
        <w:bidi w:val="0"/>
        <w:ind w:left="425" w:hanging="425" w:leftChars="0" w:firstLineChars="0"/>
      </w:pPr>
      <w:r>
        <w:t>共享流程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部门之间需要共享服务数据时，由需求部门向</w:t>
      </w:r>
      <w:r>
        <w:rPr>
          <w:rFonts w:hint="eastAsia"/>
          <w:lang w:eastAsia="zh-CN"/>
        </w:rPr>
        <w:t>运维部</w:t>
      </w:r>
      <w:r>
        <w:t>提出申请，</w:t>
      </w:r>
      <w:r>
        <w:rPr>
          <w:rFonts w:hint="eastAsia"/>
          <w:lang w:eastAsia="zh-CN"/>
        </w:rPr>
        <w:t>运维部</w:t>
      </w:r>
      <w:r>
        <w:t>审核后，协调数据提供部门提供数据，并对共享数据进行脱敏处理。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42" w:name="bookmark23"/>
      <w:bookmarkEnd w:id="42"/>
      <w:bookmarkStart w:id="43" w:name="_Toc13094"/>
      <w:bookmarkStart w:id="44" w:name="_Toc31374"/>
      <w:r>
        <w:t>数据应用</w:t>
      </w:r>
      <w:bookmarkEnd w:id="43"/>
      <w:bookmarkEnd w:id="44"/>
    </w:p>
    <w:p>
      <w:pPr>
        <w:pStyle w:val="a3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hanging="425" w:leftChars="0" w:firstLineChars="0"/>
      </w:pPr>
      <w:r>
        <w:t>服务优化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利用服务数据进行分析，识别服务过程中的薄弱环节，为服务流程改进、服务质量提升提供依据。例如，通过分析服务响应时间数据，优化响应流程，缩短响应时间。</w:t>
      </w:r>
    </w:p>
    <w:p>
      <w:pPr>
        <w:pStyle w:val="a3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hanging="425" w:leftChars="0" w:firstLineChars="0"/>
      </w:pPr>
      <w:r>
        <w:t>决策支持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基于服务数据统计分析结果，为服务规划、资源配置、应急交付等决策提供数据支持，提高决策的科学性和准确性。</w:t>
      </w:r>
    </w:p>
    <w:p>
      <w:pPr>
        <w:pStyle w:val="a3"/>
        <w:keepLines w:val="0"/>
        <w:pageBreakBefore w:val="0"/>
        <w:widowControl w:val="0"/>
        <w:numPr>
          <w:ilvl w:val="0"/>
          <w:numId w:val="18"/>
        </w:numPr>
        <w:wordWrap/>
        <w:overflowPunct/>
        <w:bidi w:val="0"/>
        <w:ind w:left="425" w:hanging="425" w:leftChars="0" w:firstLineChars="0"/>
      </w:pPr>
      <w:r>
        <w:t>客户服务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利用客户反馈数据，了解客户需求和期望，改进客户服务方式，提升客户满意度。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45" w:name="bookmark24"/>
      <w:bookmarkEnd w:id="45"/>
      <w:bookmarkStart w:id="46" w:name="bookmark35"/>
      <w:bookmarkEnd w:id="46"/>
      <w:bookmarkStart w:id="47" w:name="_Toc8444"/>
      <w:r>
        <w:t>监督与审计</w:t>
      </w:r>
      <w:bookmarkEnd w:id="47"/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48" w:name="bookmark25"/>
      <w:bookmarkEnd w:id="48"/>
      <w:bookmarkStart w:id="49" w:name="_Toc9958"/>
      <w:r>
        <w:t>内部监督</w:t>
      </w:r>
      <w:bookmarkEnd w:id="49"/>
    </w:p>
    <w:p>
      <w:pPr>
        <w:pStyle w:val="a3"/>
        <w:keepLines w:val="0"/>
        <w:pageBreakBefore w:val="0"/>
        <w:widowControl w:val="0"/>
        <w:numPr>
          <w:ilvl w:val="0"/>
          <w:numId w:val="19"/>
        </w:numPr>
        <w:wordWrap/>
        <w:overflowPunct/>
        <w:bidi w:val="0"/>
      </w:pPr>
      <w:r>
        <w:t>部门自查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各业务部门每月对本部门服务数据管理情况进行自查，检查数据采集、存储、使用等环节是否符合制度要求，形成自查报告报送</w:t>
      </w:r>
      <w:r>
        <w:rPr>
          <w:rFonts w:hint="eastAsia"/>
          <w:lang w:eastAsia="zh-CN"/>
        </w:rPr>
        <w:t>运维部</w:t>
      </w:r>
      <w:r>
        <w:t>。</w:t>
      </w:r>
    </w:p>
    <w:p>
      <w:pPr>
        <w:pStyle w:val="a3"/>
        <w:keepLines w:val="0"/>
        <w:pageBreakBefore w:val="0"/>
        <w:widowControl w:val="0"/>
        <w:numPr>
          <w:ilvl w:val="0"/>
          <w:numId w:val="19"/>
        </w:numPr>
        <w:wordWrap/>
        <w:overflowPunct/>
        <w:bidi w:val="0"/>
      </w:pPr>
      <w:r>
        <w:t>专项检查：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eastAsia="宋体" w:hint="eastAsia"/>
          <w:lang w:eastAsia="zh-CN"/>
        </w:rPr>
      </w:pPr>
      <w:r>
        <w:rPr>
          <w:rFonts w:hint="eastAsia"/>
          <w:lang w:eastAsia="zh-CN"/>
        </w:rPr>
        <w:t>运维部</w:t>
      </w:r>
      <w:r>
        <w:t>每季度组织一次服务数据管理专项检查，重点检查制度执行情况</w:t>
      </w:r>
      <w:r>
        <w:rPr>
          <w:rFonts w:hint="eastAsia"/>
          <w:lang w:eastAsia="zh-CN"/>
        </w:rPr>
        <w:t>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50" w:name="_Toc8378"/>
      <w:r>
        <w:t>制度评审与改进</w:t>
      </w:r>
      <w:bookmarkEnd w:id="50"/>
    </w:p>
    <w:p>
      <w:pPr>
        <w:pStyle w:val="a3"/>
        <w:keepLines w:val="0"/>
        <w:pageBreakBefore w:val="0"/>
        <w:widowControl w:val="0"/>
        <w:numPr>
          <w:ilvl w:val="0"/>
          <w:numId w:val="20"/>
        </w:numPr>
        <w:wordWrap/>
        <w:overflowPunct/>
        <w:bidi w:val="0"/>
      </w:pPr>
      <w:r>
        <w:t>评审周期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本制度每年评审一次，由数据治理委员会组织开展，根据组织业务发展、法律法规变化、制度执行情况等，对制度进行评估和修订。</w:t>
      </w:r>
    </w:p>
    <w:p>
      <w:pPr>
        <w:pStyle w:val="a3"/>
        <w:keepLines w:val="0"/>
        <w:pageBreakBefore w:val="0"/>
        <w:widowControl w:val="0"/>
        <w:numPr>
          <w:ilvl w:val="0"/>
          <w:numId w:val="20"/>
        </w:numPr>
        <w:wordWrap/>
        <w:overflowPunct/>
        <w:bidi w:val="0"/>
      </w:pPr>
      <w:r>
        <w:t>持续改进</w:t>
      </w:r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r>
        <w:t>根据评审结果和实际管理需求，不断完善服务数据管理制度和流程，适应组织发展和外部环境变化，提高服务数据管理水平。</w:t>
      </w:r>
    </w:p>
    <w:p>
      <w:pPr>
        <w:pStyle w:val="3"/>
        <w:keepLines w:val="0"/>
        <w:pageBreakBefore w:val="0"/>
        <w:widowControl w:val="0"/>
        <w:wordWrap/>
        <w:overflowPunct/>
        <w:bidi w:val="0"/>
      </w:pPr>
      <w:bookmarkStart w:id="51" w:name="bookmark26"/>
      <w:bookmarkEnd w:id="51"/>
      <w:bookmarkStart w:id="52" w:name="_Toc27379"/>
      <w:r>
        <w:t>外部审计</w:t>
      </w:r>
      <w:bookmarkEnd w:id="52"/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每年聘请第三方审计机构对服务数据管理制度的执行情况进行审计，出具审计报告，根据审计结果进行制度完善和管理改进。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53" w:name="bookmark27"/>
      <w:bookmarkEnd w:id="53"/>
      <w:bookmarkStart w:id="54" w:name="bookmark28"/>
      <w:bookmarkEnd w:id="54"/>
      <w:bookmarkStart w:id="55" w:name="_Toc5594"/>
      <w:r>
        <w:t>培训与宣贯</w:t>
      </w:r>
      <w:bookmarkEnd w:id="55"/>
    </w:p>
    <w:p>
      <w:pPr>
        <w:pStyle w:val="a3"/>
        <w:numPr>
          <w:ilvl w:val="0"/>
          <w:numId w:val="21"/>
        </w:numPr>
        <w:bidi w:val="0"/>
      </w:pPr>
      <w:r>
        <w:t>培训计划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rPr>
          <w:rFonts w:hint="eastAsia"/>
          <w:lang w:eastAsia="zh-CN"/>
        </w:rPr>
        <w:t>运维部</w:t>
      </w:r>
      <w:r>
        <w:t>制定年度服务数据管理培训计划，定期组织相关部门和人员参加培训，培训内容包括制度规定、数据采集方法、数据安全知识、数据分析工具使用等。</w:t>
      </w:r>
    </w:p>
    <w:p>
      <w:pPr>
        <w:pStyle w:val="a3"/>
        <w:numPr>
          <w:ilvl w:val="0"/>
          <w:numId w:val="21"/>
        </w:numPr>
        <w:bidi w:val="0"/>
      </w:pPr>
      <w:r>
        <w:t>宣贯活动</w:t>
      </w:r>
    </w:p>
    <w:p>
      <w:pPr>
        <w:pStyle w:val="a1"/>
        <w:keepLines w:val="0"/>
        <w:pageBreakBefore w:val="0"/>
        <w:widowControl w:val="0"/>
        <w:wordWrap/>
        <w:overflowPunct/>
        <w:bidi w:val="0"/>
      </w:pPr>
      <w:r>
        <w:t>通过内部网站、宣传栏、会议等多种形式，加强对服务数据管理制度的宣贯，提高全员数据管理意识和合规意识。</w:t>
      </w:r>
    </w:p>
    <w:p>
      <w:pPr>
        <w:pStyle w:val="2"/>
        <w:keepLines w:val="0"/>
        <w:pageBreakBefore w:val="0"/>
        <w:widowControl w:val="0"/>
        <w:wordWrap/>
        <w:overflowPunct/>
        <w:bidi w:val="0"/>
      </w:pPr>
      <w:bookmarkStart w:id="56" w:name="bookmark29"/>
      <w:bookmarkEnd w:id="56"/>
      <w:bookmarkStart w:id="57" w:name="_Toc9822"/>
      <w:r>
        <w:t>考核指标</w:t>
      </w:r>
      <w:bookmarkEnd w:id="57"/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0"/>
        <w:gridCol w:w="4141"/>
        <w:gridCol w:w="1160"/>
        <w:gridCol w:w="1401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指标度量性</w:t>
            </w:r>
          </w:p>
        </w:tc>
        <w:tc>
          <w:tcPr>
            <w:tcW w:w="4141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116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频次</w:t>
            </w:r>
          </w:p>
        </w:tc>
        <w:tc>
          <w:tcPr>
            <w:tcW w:w="140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82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4"/>
                <w:vertAlign w:val="baseline"/>
                <w:lang w:val="en-US" w:eastAsia="zh-CN"/>
              </w:rPr>
            </w:pPr>
            <w:r>
              <w:rPr>
                <w:rFonts w:ascii="宋体" w:eastAsia="宋体" w:hint="eastAsia"/>
                <w:sz w:val="24"/>
                <w:vertAlign w:val="baseline"/>
                <w:lang w:val="en-US" w:eastAsia="zh-CN"/>
              </w:rPr>
              <w:t>服务数据</w:t>
            </w:r>
            <w:r>
              <w:rPr>
                <w:rFonts w:ascii="宋体" w:hint="eastAsia"/>
                <w:sz w:val="24"/>
                <w:vertAlign w:val="baseline"/>
                <w:lang w:val="en-US" w:eastAsia="zh-CN"/>
              </w:rPr>
              <w:t>的</w:t>
            </w:r>
            <w:bookmarkStart w:id="58" w:name="_GoBack"/>
            <w:bookmarkEnd w:id="58"/>
            <w:r>
              <w:rPr>
                <w:rFonts w:ascii="宋体" w:eastAsia="宋体" w:hint="eastAsia"/>
                <w:sz w:val="24"/>
                <w:vertAlign w:val="baseline"/>
                <w:lang w:val="en-US" w:eastAsia="zh-CN"/>
              </w:rPr>
              <w:t>准确率</w:t>
            </w:r>
          </w:p>
        </w:tc>
        <w:tc>
          <w:tcPr>
            <w:tcW w:w="4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/>
                <w:sz w:val="24"/>
                <w:szCs w:val="24"/>
              </w:rPr>
              <w:t>服务数据的准确数量/服务数据总数×100%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default"/>
                <w:sz w:val="24"/>
                <w:vertAlign w:val="baseline"/>
                <w:lang w:val="en-US" w:eastAsia="zh-CN"/>
              </w:rPr>
            </w:pPr>
            <w:r>
              <w:rPr>
                <w:rFonts w:ascii="宋体" w:eastAsia="宋体" w:hint="eastAsia"/>
                <w:sz w:val="24"/>
                <w:vertAlign w:val="baseline"/>
                <w:lang w:val="en-US" w:eastAsia="zh-CN"/>
              </w:rPr>
              <w:t>每年度</w:t>
            </w:r>
          </w:p>
        </w:tc>
        <w:tc>
          <w:tcPr>
            <w:tcW w:w="140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pStyle w:val="a1"/>
              <w:keepLines w:val="0"/>
              <w:pageBreakBefore w:val="0"/>
              <w:widowControl w:val="0"/>
              <w:wordWrap/>
              <w:overflowPunc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int="eastAsia"/>
                <w:sz w:val="24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≥9</w:t>
            </w:r>
            <w:r>
              <w:rPr>
                <w:rFonts w:ascii="宋体" w:eastAsia="宋体" w:hAnsi="宋体" w:cs="宋体" w:hint="eastAsia"/>
                <w:spacing w:val="-1"/>
                <w:sz w:val="24"/>
                <w:szCs w:val="24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-1"/>
                <w:sz w:val="24"/>
                <w:szCs w:val="24"/>
              </w:rPr>
              <w:t>%</w:t>
            </w:r>
          </w:p>
        </w:tc>
      </w:tr>
    </w:tbl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59" w:name="bookmark14"/>
      <w:bookmarkEnd w:id="59"/>
      <w:bookmarkStart w:id="60" w:name="_Toc30554"/>
      <w:r>
        <w:rPr>
          <w:rFonts w:hint="eastAsia"/>
          <w:lang w:val="en-US" w:eastAsia="zh-CN"/>
        </w:rPr>
        <w:t>附则</w:t>
      </w:r>
      <w:bookmarkEnd w:id="60"/>
    </w:p>
    <w:p>
      <w:pPr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ascii="宋体" w:eastAsia="宋体" w:hAnsi="宋体" w:cs="宋体"/>
          <w:sz w:val="24"/>
          <w:szCs w:val="24"/>
        </w:rPr>
      </w:pPr>
      <w:r>
        <w:rPr>
          <w:rFonts w:ascii="宋体" w:eastAsia="宋体" w:hAnsi="宋体" w:cs="宋体"/>
          <w:spacing w:val="-1"/>
          <w:sz w:val="24"/>
          <w:szCs w:val="24"/>
        </w:rPr>
        <w:t>本制度最终解释权和修订权归</w:t>
      </w:r>
      <w:r>
        <w:rPr>
          <w:rFonts w:ascii="宋体" w:eastAsia="宋体" w:hAnsi="宋体" w:cs="宋体" w:hint="eastAsia"/>
          <w:spacing w:val="-1"/>
          <w:sz w:val="24"/>
          <w:szCs w:val="24"/>
          <w:lang w:val="en-US" w:eastAsia="zh-CN"/>
        </w:rPr>
        <w:t>运维部</w:t>
      </w:r>
      <w:r>
        <w:rPr>
          <w:rFonts w:ascii="宋体" w:eastAsia="宋体" w:hAnsi="宋体" w:cs="宋体"/>
          <w:spacing w:val="-1"/>
          <w:sz w:val="24"/>
          <w:szCs w:val="24"/>
        </w:rPr>
        <w:t>。</w:t>
      </w:r>
    </w:p>
    <w:p>
      <w:pPr>
        <w:keepNext w:val="0"/>
        <w:keepLines w:val="0"/>
        <w:pageBreakBefore w:val="0"/>
        <w:widowControl w:val="0"/>
        <w:numPr>
          <w:ilvl w:val="0"/>
          <w:numId w:val="22"/>
        </w:numPr>
        <w:kinsoku w:val="0"/>
        <w:wordWrap/>
        <w:overflowPunct/>
        <w:topLinePunct/>
        <w:autoSpaceDE w:val="0"/>
        <w:autoSpaceDN w:val="0"/>
        <w:bidi w:val="0"/>
        <w:adjustRightInd w:val="0"/>
        <w:snapToGrid w:val="0"/>
        <w:spacing w:line="360" w:lineRule="auto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ascii="宋体" w:eastAsia="宋体" w:hAnsi="宋体" w:cs="宋体"/>
          <w:spacing w:val="-2"/>
          <w:sz w:val="24"/>
          <w:szCs w:val="24"/>
        </w:rPr>
        <w:t>本制度自颁布之日起施行。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bookmarkStart w:id="61" w:name="_Toc6718"/>
      <w:r>
        <w:rPr>
          <w:rFonts w:hint="eastAsia"/>
          <w:lang w:val="en-US" w:eastAsia="zh-CN"/>
        </w:rPr>
        <w:t>附件</w:t>
      </w:r>
      <w:bookmarkEnd w:id="61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p>
      <w:pPr>
        <w:pStyle w:val="1"/>
        <w:keepLines w:val="0"/>
        <w:pageBreakBefore w:val="0"/>
        <w:widowControl w:val="0"/>
        <w:wordWrap/>
        <w:overflowPunct/>
        <w:bidi w:val="0"/>
        <w:rPr>
          <w:rFonts w:hint="eastAsia"/>
          <w:lang w:val="en-US" w:eastAsia="zh-CN"/>
        </w:rPr>
      </w:pPr>
      <w:bookmarkStart w:id="62" w:name="_Toc22462"/>
      <w:bookmarkStart w:id="63" w:name="_Toc10992"/>
      <w:r>
        <w:rPr>
          <w:rFonts w:hint="eastAsia"/>
          <w:lang w:val="en-US" w:eastAsia="zh-CN"/>
        </w:rPr>
        <w:t>记录</w:t>
      </w:r>
      <w:bookmarkEnd w:id="62"/>
      <w:bookmarkEnd w:id="63"/>
    </w:p>
    <w:p>
      <w:pPr>
        <w:pStyle w:val="a1"/>
        <w:keepLines w:val="0"/>
        <w:pageBreakBefore w:val="0"/>
        <w:widowControl w:val="0"/>
        <w:wordWrap/>
        <w:overflowPunct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无</w:t>
      </w:r>
    </w:p>
    <w:sectPr>
      <w:headerReference w:type="default" r:id="rId4"/>
      <w:footerReference w:type="default" r:id="rId5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09" w:lineRule="auto"/>
      <w:ind w:left="7581"/>
      <w:rPr>
        <w:rFonts w:ascii="宋体" w:eastAsia="宋体" w:hAnsi="宋体" w:cs="宋体"/>
        <w:sz w:val="18"/>
        <w:szCs w:val="18"/>
      </w:rPr>
    </w:pPr>
    <w:r>
      <w:rPr>
        <w:rFonts w:ascii="宋体" w:eastAsia="宋体" w:hAnsi="宋体" w:cs="宋体"/>
        <w:spacing w:val="-6"/>
        <w:sz w:val="18"/>
        <w:szCs w:val="18"/>
      </w:rPr>
      <w:t>第</w:t>
    </w:r>
    <w:r>
      <w:rPr>
        <w:rFonts w:ascii="宋体" w:eastAsia="宋体" w:hAnsi="宋体" w:cs="宋体"/>
        <w:spacing w:val="-35"/>
        <w:sz w:val="18"/>
        <w:szCs w:val="18"/>
      </w:rPr>
      <w:t xml:space="preserve"> </w:t>
    </w:r>
    <w:r>
      <w:rPr>
        <w:rFonts w:ascii="Calibri" w:eastAsia="Calibri" w:hAnsi="Calibri" w:cs="Calibri"/>
        <w:spacing w:val="-6"/>
        <w:sz w:val="18"/>
        <w:szCs w:val="18"/>
      </w:rPr>
      <w:t>5</w:t>
    </w:r>
    <w:r>
      <w:rPr>
        <w:rFonts w:ascii="宋体" w:eastAsia="宋体" w:hAnsi="宋体" w:cs="宋体"/>
        <w:spacing w:val="-6"/>
        <w:sz w:val="18"/>
        <w:szCs w:val="18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eastAsia="zh-CN"/>
      </w:rPr>
      <w:t>天津通海信息技术有限公司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7EB904"/>
    <w:multiLevelType w:val="singleLevel"/>
    <w:tmpl w:val="9A7EB9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9AD93379"/>
    <w:multiLevelType w:val="singleLevel"/>
    <w:tmpl w:val="9AD933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9DE29C1E"/>
    <w:multiLevelType w:val="singleLevel"/>
    <w:tmpl w:val="9DE29C1E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B627EDA"/>
    <w:multiLevelType w:val="singleLevel"/>
    <w:tmpl w:val="BB627ED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BF32AFC4"/>
    <w:multiLevelType w:val="singleLevel"/>
    <w:tmpl w:val="BF32AFC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CEB33C62"/>
    <w:multiLevelType w:val="singleLevel"/>
    <w:tmpl w:val="CEB33C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E42E0D6C"/>
    <w:multiLevelType w:val="singleLevel"/>
    <w:tmpl w:val="E42E0D6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EEF12304"/>
    <w:multiLevelType w:val="singleLevel"/>
    <w:tmpl w:val="EEF1230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EF7183EC"/>
    <w:multiLevelType w:val="singleLevel"/>
    <w:tmpl w:val="EF7183E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F793BDDD"/>
    <w:multiLevelType w:val="singleLevel"/>
    <w:tmpl w:val="F793BD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F85434B7"/>
    <w:multiLevelType w:val="singleLevel"/>
    <w:tmpl w:val="F85434B7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02DB6DE8"/>
    <w:multiLevelType w:val="singleLevel"/>
    <w:tmpl w:val="02DB6DE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14B11A6B"/>
    <w:multiLevelType w:val="singleLevel"/>
    <w:tmpl w:val="14B11A6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1B8165C8"/>
    <w:multiLevelType w:val="singleLevel"/>
    <w:tmpl w:val="1B8165C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430766AC"/>
    <w:multiLevelType w:val="singleLevel"/>
    <w:tmpl w:val="430766A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98CC4F3"/>
    <w:multiLevelType w:val="singleLevel"/>
    <w:tmpl w:val="498CC4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5647180F"/>
    <w:multiLevelType w:val="singleLevel"/>
    <w:tmpl w:val="5647180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5E8F8094"/>
    <w:multiLevelType w:val="singleLevel"/>
    <w:tmpl w:val="5E8F809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9">
    <w:nsid w:val="70ED038C"/>
    <w:multiLevelType w:val="singleLevel"/>
    <w:tmpl w:val="70ED038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0">
    <w:nsid w:val="752606B0"/>
    <w:multiLevelType w:val="singleLevel"/>
    <w:tmpl w:val="752606B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1">
    <w:nsid w:val="7F2D4426"/>
    <w:multiLevelType w:val="singleLevel"/>
    <w:tmpl w:val="7F2D442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4"/>
  </w:num>
  <w:num w:numId="3">
    <w:abstractNumId w:val="18"/>
  </w:num>
  <w:num w:numId="4">
    <w:abstractNumId w:val="17"/>
  </w:num>
  <w:num w:numId="5">
    <w:abstractNumId w:val="9"/>
  </w:num>
  <w:num w:numId="6">
    <w:abstractNumId w:val="20"/>
  </w:num>
  <w:num w:numId="7">
    <w:abstractNumId w:val="6"/>
  </w:num>
  <w:num w:numId="8">
    <w:abstractNumId w:val="7"/>
  </w:num>
  <w:num w:numId="9">
    <w:abstractNumId w:val="11"/>
  </w:num>
  <w:num w:numId="10">
    <w:abstractNumId w:val="5"/>
  </w:num>
  <w:num w:numId="11">
    <w:abstractNumId w:val="16"/>
  </w:num>
  <w:num w:numId="12">
    <w:abstractNumId w:val="12"/>
  </w:num>
  <w:num w:numId="13">
    <w:abstractNumId w:val="19"/>
  </w:num>
  <w:num w:numId="14">
    <w:abstractNumId w:val="15"/>
  </w:num>
  <w:num w:numId="15">
    <w:abstractNumId w:val="3"/>
  </w:num>
  <w:num w:numId="16">
    <w:abstractNumId w:val="13"/>
  </w:num>
  <w:num w:numId="17">
    <w:abstractNumId w:val="8"/>
  </w:num>
  <w:num w:numId="18">
    <w:abstractNumId w:val="1"/>
  </w:num>
  <w:num w:numId="19">
    <w:abstractNumId w:val="2"/>
  </w:num>
  <w:num w:numId="20">
    <w:abstractNumId w:val="10"/>
  </w:num>
  <w:num w:numId="21">
    <w:abstractNumId w:val="21"/>
  </w:num>
  <w:num w:numId="2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Normal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1371</Words>
  <Characters>1693</Characters>
  <Application>Microsoft Office Word</Application>
  <DocSecurity>0</DocSecurity>
  <Lines>0</Lines>
  <Paragraphs>0</Paragraphs>
  <ScaleCrop>false</ScaleCrop>
  <Company/>
  <LinksUpToDate>false</LinksUpToDate>
  <CharactersWithSpaces>1843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2026-03-15T21:40:58Z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41A67243DC5B46309601F3EDD32C00CA_13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