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08</w:t>
      </w:r>
      <w:bookmarkStart w:id="0" w:name="_GoBack"/>
      <w:bookmarkEnd w:id="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1" w:name="_Toc2412"/>
      <w:r>
        <w:rPr>
          <w:rFonts w:hint="eastAsia"/>
          <w:lang w:val="en-US" w:eastAsia="zh-CN"/>
        </w:rPr>
        <w:t>天津通海信息技术有限公司</w:t>
      </w:r>
      <w:bookmarkEnd w:id="1"/>
    </w:p>
    <w:p>
      <w:pPr>
        <w:pStyle w:val="a0"/>
        <w:bidi w:val="0"/>
        <w:rPr>
          <w:rFonts w:hint="default"/>
          <w:lang w:val="en-US"/>
        </w:rPr>
      </w:pPr>
      <w:bookmarkStart w:id="2" w:name="_Toc22300"/>
      <w:r>
        <w:rPr>
          <w:rFonts w:hint="eastAsia"/>
          <w:lang w:val="en-US" w:eastAsia="zh-CN"/>
        </w:rPr>
        <w:t>供应商管理制度</w:t>
      </w:r>
      <w:bookmarkEnd w:id="2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尹兆铮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Helvetica" w:eastAsia="Helvetica" w:hAnsi="Helvetica" w:cs="Helvetica" w:hint="eastAsi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门倩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尹兆铮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_Toc22300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供应商管理实施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供应商准入标准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供应商资格审查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信息安全要求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合同管理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供应商评价</w:t>
          </w:r>
          <w:r>
            <w:tab/>
          </w:r>
          <w:r>
            <w:fldChar w:fldCharType="begin"/>
          </w:r>
          <w:r>
            <w:instrText xml:space="preserve"> PAGEREF _Toc13219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质量异常处理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5.7. 供应商变更</w:t>
          </w:r>
          <w:r>
            <w:tab/>
          </w:r>
          <w:r>
            <w:fldChar w:fldCharType="begin"/>
          </w:r>
          <w:r>
            <w:instrText xml:space="preserve"> PAGEREF _Toc19495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5534"/>
      <w:r>
        <w:t>目的</w:t>
      </w:r>
      <w:bookmarkEnd w:id="3"/>
    </w:p>
    <w:p>
      <w:pPr>
        <w:pStyle w:val="a1"/>
        <w:bidi w:val="0"/>
        <w:rPr>
          <w:rFonts w:eastAsia="宋体" w:hint="default"/>
          <w:lang w:val="en-US" w:eastAsia="zh-CN"/>
        </w:rPr>
      </w:pPr>
      <w:r>
        <w:t>为优化供应体系，需建立</w:t>
      </w:r>
      <w:r>
        <w:rPr>
          <w:rFonts w:hint="default"/>
        </w:rPr>
        <w:t>严格的供应商准入机制，实施持续的绩效动态评估（质量、价格、交付、服务），并依据评估结果进行分级管理（激励、优化、淘汰），形成闭环，以确保供应链的稳定、高效与竞争力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5572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战略匹配原则：供应商选择与管理必须支持公司的整体战略和目标。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质量优先原则：确保供应商提供的产品和服务质量持续稳定可靠，是管理的首要目标。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公平竞争与公开透明原则：引入竞争机制，流程公开、公平、公正，选择最优合作伙伴。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风险控制原则：主动识别和评估供应链中的潜在风险（如断供、价格波动、质量事故），并制定应对措施。</w:t>
      </w:r>
    </w:p>
    <w:p>
      <w:pPr>
        <w:pStyle w:val="1"/>
        <w:bidi w:val="0"/>
      </w:pPr>
      <w:bookmarkStart w:id="5" w:name="_Toc1947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bidi w:val="0"/>
      </w:pPr>
      <w:r>
        <w:t>本制度规定了企业在采购、开发供应商时，对供应商的日常管理考核的工作程序、规范。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196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4030"/>
      <w:r>
        <w:rPr>
          <w:rFonts w:hint="eastAsia"/>
          <w:lang w:val="en-US" w:eastAsia="zh-CN"/>
        </w:rPr>
        <w:t>采购部</w:t>
      </w:r>
      <w:bookmarkEnd w:id="7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参与供应商资质评定、样品验证、供货质量管理及考核。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采集供应商的资料和查证合格供应商的日常管理考核；对供应商的交货能力、价格、售后服务的资质的准确性、真实性负责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902"/>
      <w:r>
        <w:rPr>
          <w:rFonts w:hint="eastAsia"/>
          <w:lang w:val="en-US" w:eastAsia="zh-CN"/>
        </w:rPr>
        <w:t>供应商管理实施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635"/>
      <w:r>
        <w:rPr>
          <w:rFonts w:hint="default"/>
          <w:lang w:val="en-US" w:eastAsia="zh-CN"/>
        </w:rPr>
        <w:t>供应商准入标准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负责不定期收集潜在供应商信息，并通过多种渠道主动寻源。</w:t>
      </w:r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可根据规划与项目需要，向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推荐潜在供应商。选择时应综合评估其主营业务、地理位置、公司规模及行业口碑等因素。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4147"/>
      <w:r>
        <w:rPr>
          <w:rFonts w:hint="default"/>
          <w:lang w:val="en-US" w:eastAsia="zh-CN"/>
        </w:rPr>
        <w:t>供应商资格审查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潜在供应商资料收集齐全后，由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组织相关部门进行资格审查。审查时应调查其主体资格、资信状况与履约能力，且对方当事人须满足以下基本条件：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为依法成立的法人或其他组织；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原则上成立时间不少于三年；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在经营范围内开展业务，若属特殊行业须持有相应经营许可证；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具备法定的国家或行业资质；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具有良好的资信状况和履约能力。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0445"/>
      <w:r>
        <w:rPr>
          <w:rFonts w:hint="default"/>
          <w:lang w:val="en-US" w:eastAsia="zh-CN"/>
        </w:rPr>
        <w:t>信息安全要求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公司须对供应商服务提出明确安全要求，并依据公司安全管理规定进行管理，具体包括：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识别并记录允许访问公司信息的供应商类型（如IT服务、物流、金融等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根据供应商类型，定义其可访问的信息类型，并实施相应的监控与访问控制措施；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遵循最小权限原则为供应商分配访问权限，并设定有效期，到期后须及时撤销；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对供应商的信息安全管理能力进行评估；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对与供应商交互的公司内部人员开展安全意识培训，明确行为规范；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将关键信息安全要求与控制措施纳入合同或保密协议。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7891"/>
      <w:r>
        <w:rPr>
          <w:rFonts w:hint="default"/>
          <w:lang w:val="en-US" w:eastAsia="zh-CN"/>
        </w:rPr>
        <w:t>合同管理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负责管理合同及协议，并维护《合格供应商名录》中的关系记录；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所有合同签署前须经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审核确认；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应每年至少进行一次合同符合性检查，确保业务需求与合同条款一致；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所有合同变更需在满足客户需求的前提下进行；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发生合同纠纷时，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遇服务结束、提前终止或转移时，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3219"/>
      <w:r>
        <w:rPr>
          <w:rFonts w:hint="default"/>
          <w:lang w:val="en-US" w:eastAsia="zh-CN"/>
        </w:rPr>
        <w:t>供应商评价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每个服务周期初，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依据服务合同与协议，参照《合格供应商名录》，对供应商进行至少年度评审。评审应涵盖产品质量、技术支持、合同执行、质量保证及售后服务等方面，并根据结果对供应商进行分级。同时记录改进措施，作为服务改进计划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1180"/>
      <w:r>
        <w:rPr>
          <w:rFonts w:hint="default"/>
          <w:lang w:val="en-US" w:eastAsia="zh-CN"/>
        </w:rPr>
        <w:t>质量异常处理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当供应商供货质量出现波动时，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应组织进行现场工艺技术验证，分析原因并推动制定改善措施，相关结果须经双方书面确认。若发生重大质量事故造成损失，应依据质保金制度索赔。对整改不力、质量仍不稳定的供应商，应取消其合格供应商资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95"/>
      <w:r>
        <w:rPr>
          <w:rFonts w:hint="default"/>
          <w:lang w:val="en-US" w:eastAsia="zh-CN"/>
        </w:rPr>
        <w:t>供应商变更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所有供应商服务的变更均需执行变更管理流程，并重新评估其对业务信息、系统及过程的风险影响。变更管理涵盖以下三个方面：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供应商协议的变更；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我公司发起的变更，包括：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对现有服务的增强；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新应用与系统的开发；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组织策略与规程的更新；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为应对安全事件或改进安全而采取的新控制措施；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供应商发起的变更，包括：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网络变更与加强；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新技术的使用；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新产品或版本的采用；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开发工具与环境的变更；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服务设施地点的变更；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供应商主体变更；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分包给其他供应商。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16" w:name="bookmark3"/>
      <w:bookmarkEnd w:id="16"/>
      <w:bookmarkStart w:id="17" w:name="_Toc11171"/>
      <w:bookmarkStart w:id="18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17"/>
      <w:bookmarkEnd w:id="18"/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采购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bookmark14"/>
      <w:bookmarkEnd w:id="19"/>
      <w:bookmarkStart w:id="20" w:name="_Toc31325"/>
      <w:r>
        <w:rPr>
          <w:rFonts w:hint="eastAsia"/>
          <w:lang w:val="en-US" w:eastAsia="zh-CN"/>
        </w:rPr>
        <w:t>附件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1" w:name="_Toc30419"/>
      <w:r>
        <w:rPr>
          <w:rFonts w:hint="eastAsia"/>
          <w:lang w:val="en-US" w:eastAsia="zh-CN"/>
        </w:rPr>
        <w:t>记录</w:t>
      </w:r>
      <w:bookmarkEnd w:id="21"/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《合格供应商名录》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7007B5"/>
    <w:multiLevelType w:val="singleLevel"/>
    <w:tmpl w:val="937007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F726D3"/>
    <w:multiLevelType w:val="singleLevel"/>
    <w:tmpl w:val="D2F726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7AC91D"/>
    <w:multiLevelType w:val="singleLevel"/>
    <w:tmpl w:val="DA7AC91D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75A80E"/>
    <w:multiLevelType w:val="singleLevel"/>
    <w:tmpl w:val="E475A8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C300126"/>
    <w:multiLevelType w:val="singleLevel"/>
    <w:tmpl w:val="FC300126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E2CEBEC"/>
    <w:multiLevelType w:val="singleLevel"/>
    <w:tmpl w:val="0E2CEB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5AB892"/>
    <w:multiLevelType w:val="singleLevel"/>
    <w:tmpl w:val="1B5AB8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1753</Words>
  <Characters>1835</Characters>
  <Application>Microsoft Office Word</Application>
  <DocSecurity>0</DocSecurity>
  <Lines>0</Lines>
  <Paragraphs>0</Paragraphs>
  <ScaleCrop>false</ScaleCrop>
  <Company/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2026-03-10T21:16:45Z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