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FD50F">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val="en-US" w:eastAsia="zh-CN"/>
        </w:rPr>
        <w:t>09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47D41D7C">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4160E2C">
      <w:pPr>
        <w:pStyle w:val="25"/>
        <w:widowControl w:val="0"/>
        <w:spacing w:after="1872"/>
        <w:rPr>
          <w:lang w:eastAsia="zh-CN"/>
        </w:rPr>
      </w:pPr>
      <w:bookmarkStart w:id="0" w:name="_Toc8303"/>
      <w:r>
        <w:rPr>
          <w:lang w:eastAsia="zh-CN"/>
        </w:rPr>
        <w:t>天津通海信息技术有限公司</w:t>
      </w:r>
      <w:bookmarkEnd w:id="0"/>
    </w:p>
    <w:p w14:paraId="7F80B05C">
      <w:pPr>
        <w:pStyle w:val="26"/>
        <w:widowControl w:val="0"/>
        <w:spacing w:after="2808"/>
        <w:rPr>
          <w:rFonts w:hint="eastAsia"/>
          <w:sz w:val="44"/>
          <w:szCs w:val="44"/>
          <w:lang w:eastAsia="zh-CN"/>
        </w:rPr>
      </w:pPr>
      <w:bookmarkStart w:id="1" w:name="_Toc14760"/>
      <w:r>
        <w:rPr>
          <w:rFonts w:hint="eastAsia"/>
          <w:sz w:val="44"/>
          <w:szCs w:val="44"/>
          <w:lang w:eastAsia="zh-CN"/>
        </w:rPr>
        <w:t>天津港引航中心引航信息系统及设备维护项目数据清洗策略需求分析报告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8466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7BB88A3">
            <w:pPr>
              <w:pStyle w:val="30"/>
              <w:widowControl w:val="0"/>
              <w:ind w:firstLine="0" w:firstLineChars="0"/>
              <w:jc w:val="both"/>
              <w:rPr>
                <w:rFonts w:hint="eastAsia" w:ascii="宋体" w:hAnsi="宋体" w:eastAsia="宋体" w:cs="宋体"/>
                <w:sz w:val="21"/>
                <w:lang w:eastAsia="zh-CN"/>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278EABBD">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2025.7.</w:t>
            </w:r>
            <w:r>
              <w:rPr>
                <w:rFonts w:hint="eastAsia"/>
                <w:sz w:val="21"/>
                <w:u w:val="single"/>
                <w:lang w:val="en-US" w:eastAsia="zh-CN"/>
              </w:rPr>
              <w:t>10</w:t>
            </w:r>
          </w:p>
        </w:tc>
      </w:tr>
      <w:tr w14:paraId="65310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F3BC550">
            <w:pPr>
              <w:pStyle w:val="30"/>
              <w:widowControl w:val="0"/>
              <w:ind w:firstLine="0" w:firstLineChars="0"/>
              <w:jc w:val="both"/>
              <w:rPr>
                <w:rFonts w:hint="eastAsia" w:ascii="宋体" w:hAnsi="宋体" w:eastAsia="宋体" w:cs="宋体"/>
                <w:sz w:val="21"/>
                <w:lang w:val="en-US" w:eastAsia="zh-CN"/>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140A0138">
            <w:pPr>
              <w:pStyle w:val="30"/>
              <w:widowControl w:val="0"/>
              <w:ind w:firstLine="420"/>
              <w:jc w:val="both"/>
              <w:rPr>
                <w:rFonts w:hint="eastAsia" w:ascii="宋体" w:hAnsi="宋体" w:cs="宋体"/>
                <w:sz w:val="21"/>
              </w:rPr>
            </w:pPr>
            <w:r>
              <w:rPr>
                <w:rFonts w:hint="eastAsia" w:ascii="宋体" w:hAnsi="宋体" w:cs="宋体"/>
                <w:sz w:val="21"/>
              </w:rPr>
              <w:t>编制时间:</w:t>
            </w:r>
            <w:r>
              <w:rPr>
                <w:sz w:val="21"/>
                <w:u w:val="single"/>
              </w:rPr>
              <w:t>2025.7.</w:t>
            </w:r>
            <w:r>
              <w:rPr>
                <w:rFonts w:hint="eastAsia"/>
                <w:sz w:val="21"/>
                <w:u w:val="single"/>
                <w:lang w:val="en-US" w:eastAsia="zh-CN"/>
              </w:rPr>
              <w:t>10</w:t>
            </w:r>
          </w:p>
        </w:tc>
      </w:tr>
      <w:tr w14:paraId="0E98B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D90EB22">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328EDD63">
            <w:pPr>
              <w:pStyle w:val="30"/>
              <w:widowControl w:val="0"/>
              <w:ind w:firstLine="420"/>
              <w:jc w:val="both"/>
              <w:rPr>
                <w:rFonts w:hint="eastAsia" w:ascii="宋体" w:hAnsi="宋体" w:cs="宋体"/>
                <w:sz w:val="21"/>
              </w:rPr>
            </w:pPr>
            <w:r>
              <w:rPr>
                <w:rFonts w:hint="eastAsia" w:ascii="宋体" w:hAnsi="宋体" w:cs="宋体"/>
                <w:sz w:val="21"/>
              </w:rPr>
              <w:t>审批时间:</w:t>
            </w:r>
            <w:r>
              <w:rPr>
                <w:sz w:val="21"/>
                <w:u w:val="single"/>
              </w:rPr>
              <w:t>2025.7.</w:t>
            </w:r>
            <w:r>
              <w:rPr>
                <w:rFonts w:hint="eastAsia"/>
                <w:sz w:val="21"/>
                <w:u w:val="single"/>
                <w:lang w:val="en-US" w:eastAsia="zh-CN"/>
              </w:rPr>
              <w:t>10</w:t>
            </w:r>
          </w:p>
        </w:tc>
      </w:tr>
    </w:tbl>
    <w:p w14:paraId="1D3B8B3F">
      <w:pPr>
        <w:pStyle w:val="30"/>
        <w:widowControl w:val="0"/>
        <w:ind w:firstLine="480"/>
      </w:pPr>
      <w:r>
        <w:br w:type="page"/>
      </w:r>
    </w:p>
    <w:p w14:paraId="2C15A145">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CF06F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E7272F2">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4ED95F8">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2BEC4766">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4F928119">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0C00ADB">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3094AB0">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A9D65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AA94848">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10</w:t>
            </w:r>
          </w:p>
        </w:tc>
        <w:tc>
          <w:tcPr>
            <w:tcW w:w="919" w:type="dxa"/>
          </w:tcPr>
          <w:p w14:paraId="6ACA8A24">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1AAAB4D">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07DEA6B2">
            <w:pPr>
              <w:widowControl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5A26AF3E">
            <w:pPr>
              <w:widowControl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常海霞</w:t>
            </w:r>
          </w:p>
        </w:tc>
        <w:tc>
          <w:tcPr>
            <w:tcW w:w="1240" w:type="dxa"/>
          </w:tcPr>
          <w:p w14:paraId="19C95E13">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77405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F0B623D">
            <w:pPr>
              <w:pStyle w:val="28"/>
              <w:widowControl w:val="0"/>
              <w:rPr>
                <w:rFonts w:hint="eastAsia"/>
              </w:rPr>
            </w:pPr>
          </w:p>
        </w:tc>
        <w:tc>
          <w:tcPr>
            <w:tcW w:w="919" w:type="dxa"/>
          </w:tcPr>
          <w:p w14:paraId="4F6A8702">
            <w:pPr>
              <w:pStyle w:val="28"/>
              <w:widowControl w:val="0"/>
              <w:rPr>
                <w:rFonts w:hint="eastAsia"/>
              </w:rPr>
            </w:pPr>
          </w:p>
        </w:tc>
        <w:tc>
          <w:tcPr>
            <w:tcW w:w="2289" w:type="dxa"/>
          </w:tcPr>
          <w:p w14:paraId="4FD394F0">
            <w:pPr>
              <w:pStyle w:val="28"/>
              <w:widowControl w:val="0"/>
              <w:rPr>
                <w:rFonts w:hint="eastAsia"/>
              </w:rPr>
            </w:pPr>
          </w:p>
        </w:tc>
        <w:tc>
          <w:tcPr>
            <w:tcW w:w="1148" w:type="dxa"/>
          </w:tcPr>
          <w:p w14:paraId="788C18CF">
            <w:pPr>
              <w:widowControl w:val="0"/>
              <w:spacing w:before="172" w:line="228" w:lineRule="auto"/>
              <w:ind w:left="313"/>
            </w:pPr>
          </w:p>
        </w:tc>
        <w:tc>
          <w:tcPr>
            <w:tcW w:w="1150" w:type="dxa"/>
          </w:tcPr>
          <w:p w14:paraId="2CA1A787">
            <w:pPr>
              <w:widowControl w:val="0"/>
              <w:spacing w:before="172" w:line="228" w:lineRule="auto"/>
              <w:ind w:left="313"/>
            </w:pPr>
          </w:p>
        </w:tc>
        <w:tc>
          <w:tcPr>
            <w:tcW w:w="1240" w:type="dxa"/>
          </w:tcPr>
          <w:p w14:paraId="068A0C24">
            <w:pPr>
              <w:pStyle w:val="28"/>
              <w:widowControl w:val="0"/>
              <w:rPr>
                <w:rFonts w:hint="eastAsia"/>
              </w:rPr>
            </w:pPr>
          </w:p>
        </w:tc>
      </w:tr>
      <w:tr w14:paraId="29CAC3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FB4652B">
            <w:pPr>
              <w:pStyle w:val="28"/>
              <w:widowControl w:val="0"/>
              <w:rPr>
                <w:rFonts w:hint="eastAsia"/>
              </w:rPr>
            </w:pPr>
          </w:p>
        </w:tc>
        <w:tc>
          <w:tcPr>
            <w:tcW w:w="919" w:type="dxa"/>
          </w:tcPr>
          <w:p w14:paraId="3E4AA29C">
            <w:pPr>
              <w:pStyle w:val="28"/>
              <w:widowControl w:val="0"/>
              <w:rPr>
                <w:rFonts w:hint="eastAsia"/>
              </w:rPr>
            </w:pPr>
          </w:p>
        </w:tc>
        <w:tc>
          <w:tcPr>
            <w:tcW w:w="2289" w:type="dxa"/>
          </w:tcPr>
          <w:p w14:paraId="0C8432BB">
            <w:pPr>
              <w:pStyle w:val="28"/>
              <w:widowControl w:val="0"/>
              <w:rPr>
                <w:rFonts w:hint="eastAsia"/>
              </w:rPr>
            </w:pPr>
          </w:p>
        </w:tc>
        <w:tc>
          <w:tcPr>
            <w:tcW w:w="1148" w:type="dxa"/>
          </w:tcPr>
          <w:p w14:paraId="5FFD6FA5">
            <w:pPr>
              <w:widowControl w:val="0"/>
              <w:spacing w:before="173" w:line="229" w:lineRule="auto"/>
              <w:ind w:left="314"/>
            </w:pPr>
          </w:p>
        </w:tc>
        <w:tc>
          <w:tcPr>
            <w:tcW w:w="1150" w:type="dxa"/>
          </w:tcPr>
          <w:p w14:paraId="6A263D12">
            <w:pPr>
              <w:widowControl w:val="0"/>
              <w:spacing w:before="173" w:line="229" w:lineRule="auto"/>
              <w:ind w:left="314"/>
            </w:pPr>
          </w:p>
        </w:tc>
        <w:tc>
          <w:tcPr>
            <w:tcW w:w="1240" w:type="dxa"/>
          </w:tcPr>
          <w:p w14:paraId="2D296E12">
            <w:pPr>
              <w:pStyle w:val="28"/>
              <w:widowControl w:val="0"/>
              <w:rPr>
                <w:rFonts w:hint="eastAsia"/>
              </w:rPr>
            </w:pPr>
          </w:p>
        </w:tc>
      </w:tr>
      <w:tr w14:paraId="0E975A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683087D">
            <w:pPr>
              <w:pStyle w:val="28"/>
              <w:widowControl w:val="0"/>
              <w:rPr>
                <w:rFonts w:hint="eastAsia"/>
              </w:rPr>
            </w:pPr>
          </w:p>
        </w:tc>
        <w:tc>
          <w:tcPr>
            <w:tcW w:w="919" w:type="dxa"/>
          </w:tcPr>
          <w:p w14:paraId="3CA3860C">
            <w:pPr>
              <w:pStyle w:val="28"/>
              <w:widowControl w:val="0"/>
              <w:rPr>
                <w:rFonts w:hint="eastAsia"/>
              </w:rPr>
            </w:pPr>
          </w:p>
        </w:tc>
        <w:tc>
          <w:tcPr>
            <w:tcW w:w="2289" w:type="dxa"/>
          </w:tcPr>
          <w:p w14:paraId="7F504AFD">
            <w:pPr>
              <w:pStyle w:val="28"/>
              <w:widowControl w:val="0"/>
              <w:rPr>
                <w:rFonts w:hint="eastAsia"/>
              </w:rPr>
            </w:pPr>
          </w:p>
        </w:tc>
        <w:tc>
          <w:tcPr>
            <w:tcW w:w="1148" w:type="dxa"/>
          </w:tcPr>
          <w:p w14:paraId="05D5B2C2">
            <w:pPr>
              <w:pStyle w:val="28"/>
              <w:widowControl w:val="0"/>
              <w:rPr>
                <w:rFonts w:hint="eastAsia"/>
              </w:rPr>
            </w:pPr>
          </w:p>
        </w:tc>
        <w:tc>
          <w:tcPr>
            <w:tcW w:w="1150" w:type="dxa"/>
          </w:tcPr>
          <w:p w14:paraId="66890E13">
            <w:pPr>
              <w:pStyle w:val="28"/>
              <w:widowControl w:val="0"/>
              <w:rPr>
                <w:rFonts w:hint="eastAsia"/>
              </w:rPr>
            </w:pPr>
          </w:p>
        </w:tc>
        <w:tc>
          <w:tcPr>
            <w:tcW w:w="1240" w:type="dxa"/>
          </w:tcPr>
          <w:p w14:paraId="49CD85CF">
            <w:pPr>
              <w:pStyle w:val="28"/>
              <w:widowControl w:val="0"/>
              <w:rPr>
                <w:rFonts w:hint="eastAsia"/>
              </w:rPr>
            </w:pPr>
          </w:p>
        </w:tc>
      </w:tr>
      <w:tr w14:paraId="4B4D92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F272800">
            <w:pPr>
              <w:pStyle w:val="28"/>
              <w:widowControl w:val="0"/>
              <w:rPr>
                <w:rFonts w:hint="eastAsia"/>
              </w:rPr>
            </w:pPr>
          </w:p>
        </w:tc>
        <w:tc>
          <w:tcPr>
            <w:tcW w:w="919" w:type="dxa"/>
          </w:tcPr>
          <w:p w14:paraId="002C7D3B">
            <w:pPr>
              <w:pStyle w:val="28"/>
              <w:widowControl w:val="0"/>
              <w:rPr>
                <w:rFonts w:hint="eastAsia"/>
              </w:rPr>
            </w:pPr>
          </w:p>
        </w:tc>
        <w:tc>
          <w:tcPr>
            <w:tcW w:w="2289" w:type="dxa"/>
          </w:tcPr>
          <w:p w14:paraId="6F7B8E86">
            <w:pPr>
              <w:pStyle w:val="28"/>
              <w:widowControl w:val="0"/>
              <w:rPr>
                <w:rFonts w:hint="eastAsia"/>
              </w:rPr>
            </w:pPr>
          </w:p>
        </w:tc>
        <w:tc>
          <w:tcPr>
            <w:tcW w:w="1148" w:type="dxa"/>
          </w:tcPr>
          <w:p w14:paraId="7FFFDCA3">
            <w:pPr>
              <w:pStyle w:val="28"/>
              <w:widowControl w:val="0"/>
              <w:rPr>
                <w:rFonts w:hint="eastAsia"/>
              </w:rPr>
            </w:pPr>
          </w:p>
        </w:tc>
        <w:tc>
          <w:tcPr>
            <w:tcW w:w="1150" w:type="dxa"/>
          </w:tcPr>
          <w:p w14:paraId="4E787EC0">
            <w:pPr>
              <w:pStyle w:val="28"/>
              <w:widowControl w:val="0"/>
              <w:rPr>
                <w:rFonts w:hint="eastAsia"/>
              </w:rPr>
            </w:pPr>
          </w:p>
        </w:tc>
        <w:tc>
          <w:tcPr>
            <w:tcW w:w="1240" w:type="dxa"/>
          </w:tcPr>
          <w:p w14:paraId="23B74A7C">
            <w:pPr>
              <w:pStyle w:val="28"/>
              <w:widowControl w:val="0"/>
              <w:rPr>
                <w:rFonts w:hint="eastAsia"/>
              </w:rPr>
            </w:pPr>
          </w:p>
        </w:tc>
      </w:tr>
      <w:tr w14:paraId="61501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61" w:hRule="atLeast"/>
        </w:trPr>
        <w:tc>
          <w:tcPr>
            <w:tcW w:w="1555" w:type="dxa"/>
          </w:tcPr>
          <w:p w14:paraId="5FD9BF02">
            <w:pPr>
              <w:pStyle w:val="28"/>
              <w:widowControl w:val="0"/>
              <w:rPr>
                <w:rFonts w:hint="eastAsia"/>
              </w:rPr>
            </w:pPr>
          </w:p>
        </w:tc>
        <w:tc>
          <w:tcPr>
            <w:tcW w:w="919" w:type="dxa"/>
          </w:tcPr>
          <w:p w14:paraId="70FD24BD">
            <w:pPr>
              <w:pStyle w:val="28"/>
              <w:widowControl w:val="0"/>
              <w:rPr>
                <w:rFonts w:hint="eastAsia"/>
              </w:rPr>
            </w:pPr>
          </w:p>
        </w:tc>
        <w:tc>
          <w:tcPr>
            <w:tcW w:w="2289" w:type="dxa"/>
          </w:tcPr>
          <w:p w14:paraId="17C6548B">
            <w:pPr>
              <w:pStyle w:val="28"/>
              <w:widowControl w:val="0"/>
              <w:rPr>
                <w:rFonts w:hint="eastAsia"/>
              </w:rPr>
            </w:pPr>
          </w:p>
        </w:tc>
        <w:tc>
          <w:tcPr>
            <w:tcW w:w="1148" w:type="dxa"/>
          </w:tcPr>
          <w:p w14:paraId="1C12801F">
            <w:pPr>
              <w:pStyle w:val="28"/>
              <w:widowControl w:val="0"/>
              <w:rPr>
                <w:rFonts w:hint="eastAsia"/>
              </w:rPr>
            </w:pPr>
          </w:p>
        </w:tc>
        <w:tc>
          <w:tcPr>
            <w:tcW w:w="1150" w:type="dxa"/>
          </w:tcPr>
          <w:p w14:paraId="5AD1353C">
            <w:pPr>
              <w:pStyle w:val="28"/>
              <w:widowControl w:val="0"/>
              <w:rPr>
                <w:rFonts w:hint="eastAsia"/>
              </w:rPr>
            </w:pPr>
          </w:p>
        </w:tc>
        <w:tc>
          <w:tcPr>
            <w:tcW w:w="1240" w:type="dxa"/>
          </w:tcPr>
          <w:p w14:paraId="77AC16CD">
            <w:pPr>
              <w:pStyle w:val="28"/>
              <w:widowControl w:val="0"/>
              <w:rPr>
                <w:rFonts w:hint="eastAsia"/>
              </w:rPr>
            </w:pPr>
          </w:p>
        </w:tc>
      </w:tr>
    </w:tbl>
    <w:p w14:paraId="267B12A5">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5EA9D640">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23E6013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_Toc8303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_Toc8303 \h </w:instrText>
          </w:r>
          <w:r>
            <w:fldChar w:fldCharType="separate"/>
          </w:r>
          <w:r>
            <w:t>1</w:t>
          </w:r>
          <w:r>
            <w:fldChar w:fldCharType="end"/>
          </w:r>
          <w:r>
            <w:rPr>
              <w:rFonts w:hint="eastAsia" w:ascii="宋体" w:hAnsi="宋体" w:eastAsia="宋体" w:cs="宋体"/>
              <w:szCs w:val="24"/>
            </w:rPr>
            <w:fldChar w:fldCharType="end"/>
          </w:r>
        </w:p>
        <w:p w14:paraId="6A0ACAC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_Toc14760 </w:instrText>
          </w:r>
          <w:r>
            <w:rPr>
              <w:rFonts w:hint="eastAsia" w:ascii="宋体" w:hAnsi="宋体" w:cs="宋体"/>
              <w:szCs w:val="24"/>
            </w:rPr>
            <w:fldChar w:fldCharType="separate"/>
          </w:r>
          <w:r>
            <w:rPr>
              <w:rFonts w:hint="eastAsia"/>
              <w:szCs w:val="44"/>
              <w:lang w:eastAsia="zh-CN"/>
            </w:rPr>
            <w:t>天津港引航中心引航信息系统及设备维护项目数据清洗策略需求分析报告</w:t>
          </w:r>
          <w:r>
            <w:tab/>
          </w:r>
          <w:r>
            <w:fldChar w:fldCharType="begin"/>
          </w:r>
          <w:r>
            <w:instrText xml:space="preserve"> PAGEREF _Toc14760 \h </w:instrText>
          </w:r>
          <w:r>
            <w:fldChar w:fldCharType="separate"/>
          </w:r>
          <w:r>
            <w:t>1</w:t>
          </w:r>
          <w:r>
            <w:fldChar w:fldCharType="end"/>
          </w:r>
          <w:r>
            <w:rPr>
              <w:rFonts w:hint="eastAsia" w:ascii="宋体" w:hAnsi="宋体" w:cs="宋体"/>
              <w:szCs w:val="24"/>
            </w:rPr>
            <w:fldChar w:fldCharType="end"/>
          </w:r>
        </w:p>
        <w:p w14:paraId="1D4424E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_Toc1501 </w:instrText>
          </w:r>
          <w:r>
            <w:rPr>
              <w:rFonts w:hint="eastAsia" w:ascii="宋体" w:hAnsi="宋体" w:cs="宋体"/>
              <w:szCs w:val="24"/>
            </w:rPr>
            <w:fldChar w:fldCharType="separate"/>
          </w:r>
          <w:r>
            <w:rPr>
              <w:rFonts w:hint="default"/>
              <w:lang w:eastAsia="zh-CN"/>
            </w:rPr>
            <w:t xml:space="preserve">1. </w:t>
          </w:r>
          <w:r>
            <w:rPr>
              <w:lang w:eastAsia="zh-CN"/>
            </w:rPr>
            <w:t>引言</w:t>
          </w:r>
          <w:r>
            <w:tab/>
          </w:r>
          <w:r>
            <w:fldChar w:fldCharType="begin"/>
          </w:r>
          <w:r>
            <w:instrText xml:space="preserve"> PAGEREF _Toc1501 \h </w:instrText>
          </w:r>
          <w:r>
            <w:fldChar w:fldCharType="separate"/>
          </w:r>
          <w:r>
            <w:t>4</w:t>
          </w:r>
          <w:r>
            <w:fldChar w:fldCharType="end"/>
          </w:r>
          <w:r>
            <w:rPr>
              <w:rFonts w:hint="eastAsia" w:ascii="宋体" w:hAnsi="宋体" w:cs="宋体"/>
              <w:szCs w:val="24"/>
            </w:rPr>
            <w:fldChar w:fldCharType="end"/>
          </w:r>
        </w:p>
        <w:p w14:paraId="185B9B1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_Toc28946 </w:instrText>
          </w:r>
          <w:r>
            <w:rPr>
              <w:rFonts w:hint="eastAsia" w:ascii="宋体" w:hAnsi="宋体" w:cs="宋体"/>
              <w:szCs w:val="24"/>
            </w:rPr>
            <w:fldChar w:fldCharType="separate"/>
          </w:r>
          <w:r>
            <w:rPr>
              <w:rFonts w:hint="default"/>
              <w:lang w:eastAsia="zh-CN"/>
            </w:rPr>
            <w:t xml:space="preserve">1.1. </w:t>
          </w:r>
          <w:r>
            <w:rPr>
              <w:lang w:eastAsia="zh-CN"/>
            </w:rPr>
            <w:t>报告目的</w:t>
          </w:r>
          <w:r>
            <w:tab/>
          </w:r>
          <w:r>
            <w:fldChar w:fldCharType="begin"/>
          </w:r>
          <w:r>
            <w:instrText xml:space="preserve"> PAGEREF _Toc28946 \h </w:instrText>
          </w:r>
          <w:r>
            <w:fldChar w:fldCharType="separate"/>
          </w:r>
          <w:r>
            <w:t>4</w:t>
          </w:r>
          <w:r>
            <w:fldChar w:fldCharType="end"/>
          </w:r>
          <w:r>
            <w:rPr>
              <w:rFonts w:hint="eastAsia" w:ascii="宋体" w:hAnsi="宋体" w:cs="宋体"/>
              <w:szCs w:val="24"/>
            </w:rPr>
            <w:fldChar w:fldCharType="end"/>
          </w:r>
        </w:p>
        <w:p w14:paraId="6958445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_Toc14763 </w:instrText>
          </w:r>
          <w:r>
            <w:rPr>
              <w:rFonts w:hint="eastAsia" w:ascii="宋体" w:hAnsi="宋体" w:cs="宋体"/>
              <w:szCs w:val="24"/>
            </w:rPr>
            <w:fldChar w:fldCharType="separate"/>
          </w:r>
          <w:r>
            <w:rPr>
              <w:rFonts w:hint="default"/>
              <w:lang w:eastAsia="zh-CN"/>
            </w:rPr>
            <w:t xml:space="preserve">1.2. </w:t>
          </w:r>
          <w:r>
            <w:rPr>
              <w:lang w:eastAsia="zh-CN"/>
            </w:rPr>
            <w:t>编制依据</w:t>
          </w:r>
          <w:r>
            <w:tab/>
          </w:r>
          <w:r>
            <w:fldChar w:fldCharType="begin"/>
          </w:r>
          <w:r>
            <w:instrText xml:space="preserve"> PAGEREF _Toc14763 \h </w:instrText>
          </w:r>
          <w:r>
            <w:fldChar w:fldCharType="separate"/>
          </w:r>
          <w:r>
            <w:t>4</w:t>
          </w:r>
          <w:r>
            <w:fldChar w:fldCharType="end"/>
          </w:r>
          <w:r>
            <w:rPr>
              <w:rFonts w:hint="eastAsia" w:ascii="宋体" w:hAnsi="宋体" w:cs="宋体"/>
              <w:szCs w:val="24"/>
            </w:rPr>
            <w:fldChar w:fldCharType="end"/>
          </w:r>
        </w:p>
        <w:p w14:paraId="7514FE4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_Toc5159 </w:instrText>
          </w:r>
          <w:r>
            <w:rPr>
              <w:rFonts w:hint="eastAsia" w:ascii="宋体" w:hAnsi="宋体" w:cs="宋体"/>
              <w:szCs w:val="24"/>
            </w:rPr>
            <w:fldChar w:fldCharType="separate"/>
          </w:r>
          <w:r>
            <w:rPr>
              <w:rFonts w:hint="default"/>
              <w:lang w:eastAsia="zh-CN"/>
            </w:rPr>
            <w:t xml:space="preserve">1.3. </w:t>
          </w:r>
          <w:r>
            <w:rPr>
              <w:lang w:eastAsia="zh-CN"/>
            </w:rPr>
            <w:t>预期读者</w:t>
          </w:r>
          <w:r>
            <w:tab/>
          </w:r>
          <w:r>
            <w:fldChar w:fldCharType="begin"/>
          </w:r>
          <w:r>
            <w:instrText xml:space="preserve"> PAGEREF _Toc5159 \h </w:instrText>
          </w:r>
          <w:r>
            <w:fldChar w:fldCharType="separate"/>
          </w:r>
          <w:r>
            <w:t>4</w:t>
          </w:r>
          <w:r>
            <w:fldChar w:fldCharType="end"/>
          </w:r>
          <w:r>
            <w:rPr>
              <w:rFonts w:hint="eastAsia" w:ascii="宋体" w:hAnsi="宋体" w:cs="宋体"/>
              <w:szCs w:val="24"/>
            </w:rPr>
            <w:fldChar w:fldCharType="end"/>
          </w:r>
        </w:p>
        <w:p w14:paraId="4DB865A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_Toc12044 </w:instrText>
          </w:r>
          <w:r>
            <w:rPr>
              <w:rFonts w:hint="eastAsia" w:ascii="宋体" w:hAnsi="宋体" w:cs="宋体"/>
              <w:szCs w:val="24"/>
            </w:rPr>
            <w:fldChar w:fldCharType="separate"/>
          </w:r>
          <w:r>
            <w:rPr>
              <w:rFonts w:hint="default"/>
              <w:lang w:eastAsia="zh-CN"/>
            </w:rPr>
            <w:t xml:space="preserve">2. </w:t>
          </w:r>
          <w:r>
            <w:rPr>
              <w:lang w:eastAsia="zh-CN"/>
            </w:rPr>
            <w:t>项目</w:t>
          </w:r>
          <w:r>
            <w:rPr>
              <w:rFonts w:hint="eastAsia"/>
              <w:lang w:eastAsia="zh-CN"/>
            </w:rPr>
            <w:t>背景与数据全景分析</w:t>
          </w:r>
          <w:r>
            <w:tab/>
          </w:r>
          <w:r>
            <w:fldChar w:fldCharType="begin"/>
          </w:r>
          <w:r>
            <w:instrText xml:space="preserve"> PAGEREF _Toc12044 \h </w:instrText>
          </w:r>
          <w:r>
            <w:fldChar w:fldCharType="separate"/>
          </w:r>
          <w:r>
            <w:t>4</w:t>
          </w:r>
          <w:r>
            <w:fldChar w:fldCharType="end"/>
          </w:r>
          <w:r>
            <w:rPr>
              <w:rFonts w:hint="eastAsia" w:ascii="宋体" w:hAnsi="宋体" w:cs="宋体"/>
              <w:szCs w:val="24"/>
            </w:rPr>
            <w:fldChar w:fldCharType="end"/>
          </w:r>
        </w:p>
        <w:p w14:paraId="697ED74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_Toc18885 </w:instrText>
          </w:r>
          <w:r>
            <w:rPr>
              <w:rFonts w:hint="eastAsia" w:ascii="宋体" w:hAnsi="宋体" w:cs="宋体"/>
              <w:szCs w:val="24"/>
            </w:rPr>
            <w:fldChar w:fldCharType="separate"/>
          </w:r>
          <w:r>
            <w:rPr>
              <w:rFonts w:hint="default"/>
              <w:lang w:eastAsia="zh-CN"/>
            </w:rPr>
            <w:t xml:space="preserve">2.1. </w:t>
          </w:r>
          <w:r>
            <w:rPr>
              <w:rFonts w:hint="eastAsia"/>
              <w:lang w:eastAsia="zh-CN"/>
            </w:rPr>
            <w:t>项目核心目标与数据依赖</w:t>
          </w:r>
          <w:r>
            <w:tab/>
          </w:r>
          <w:r>
            <w:fldChar w:fldCharType="begin"/>
          </w:r>
          <w:r>
            <w:instrText xml:space="preserve"> PAGEREF _Toc18885 \h </w:instrText>
          </w:r>
          <w:r>
            <w:fldChar w:fldCharType="separate"/>
          </w:r>
          <w:r>
            <w:t>4</w:t>
          </w:r>
          <w:r>
            <w:fldChar w:fldCharType="end"/>
          </w:r>
          <w:r>
            <w:rPr>
              <w:rFonts w:hint="eastAsia" w:ascii="宋体" w:hAnsi="宋体" w:cs="宋体"/>
              <w:szCs w:val="24"/>
            </w:rPr>
            <w:fldChar w:fldCharType="end"/>
          </w:r>
        </w:p>
        <w:p w14:paraId="214FD72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_Toc14352 </w:instrText>
          </w:r>
          <w:r>
            <w:rPr>
              <w:rFonts w:hint="eastAsia" w:ascii="宋体" w:hAnsi="宋体" w:cs="宋体"/>
              <w:szCs w:val="24"/>
            </w:rPr>
            <w:fldChar w:fldCharType="separate"/>
          </w:r>
          <w:r>
            <w:rPr>
              <w:rFonts w:hint="default"/>
              <w:lang w:eastAsia="zh-CN"/>
            </w:rPr>
            <w:t xml:space="preserve">2.2. </w:t>
          </w:r>
          <w:r>
            <w:rPr>
              <w:lang w:eastAsia="zh-CN"/>
            </w:rPr>
            <w:t>关键数据源识别与特征分析</w:t>
          </w:r>
          <w:r>
            <w:tab/>
          </w:r>
          <w:r>
            <w:fldChar w:fldCharType="begin"/>
          </w:r>
          <w:r>
            <w:instrText xml:space="preserve"> PAGEREF _Toc14352 \h </w:instrText>
          </w:r>
          <w:r>
            <w:fldChar w:fldCharType="separate"/>
          </w:r>
          <w:r>
            <w:t>4</w:t>
          </w:r>
          <w:r>
            <w:fldChar w:fldCharType="end"/>
          </w:r>
          <w:r>
            <w:rPr>
              <w:rFonts w:hint="eastAsia" w:ascii="宋体" w:hAnsi="宋体" w:cs="宋体"/>
              <w:szCs w:val="24"/>
            </w:rPr>
            <w:fldChar w:fldCharType="end"/>
          </w:r>
        </w:p>
        <w:p w14:paraId="4EBFADF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_Toc28603 </w:instrText>
          </w:r>
          <w:r>
            <w:rPr>
              <w:rFonts w:hint="eastAsia" w:ascii="宋体" w:hAnsi="宋体" w:cs="宋体"/>
              <w:szCs w:val="24"/>
            </w:rPr>
            <w:fldChar w:fldCharType="separate"/>
          </w:r>
          <w:r>
            <w:rPr>
              <w:rFonts w:hint="default"/>
              <w:lang w:eastAsia="zh-CN"/>
            </w:rPr>
            <w:t xml:space="preserve">3. </w:t>
          </w:r>
          <w:r>
            <w:rPr>
              <w:lang w:eastAsia="zh-CN"/>
            </w:rPr>
            <w:t>数据清洗核心业务需求</w:t>
          </w:r>
          <w:r>
            <w:tab/>
          </w:r>
          <w:r>
            <w:fldChar w:fldCharType="begin"/>
          </w:r>
          <w:r>
            <w:instrText xml:space="preserve"> PAGEREF _Toc28603 \h </w:instrText>
          </w:r>
          <w:r>
            <w:fldChar w:fldCharType="separate"/>
          </w:r>
          <w:r>
            <w:t>5</w:t>
          </w:r>
          <w:r>
            <w:fldChar w:fldCharType="end"/>
          </w:r>
          <w:r>
            <w:rPr>
              <w:rFonts w:hint="eastAsia" w:ascii="宋体" w:hAnsi="宋体" w:cs="宋体"/>
              <w:szCs w:val="24"/>
            </w:rPr>
            <w:fldChar w:fldCharType="end"/>
          </w:r>
        </w:p>
        <w:p w14:paraId="439EDF0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_Toc18245 </w:instrText>
          </w:r>
          <w:r>
            <w:rPr>
              <w:rFonts w:hint="eastAsia" w:ascii="宋体" w:hAnsi="宋体" w:cs="宋体"/>
              <w:szCs w:val="24"/>
            </w:rPr>
            <w:fldChar w:fldCharType="separate"/>
          </w:r>
          <w:r>
            <w:rPr>
              <w:rFonts w:hint="default"/>
              <w:lang w:eastAsia="zh-CN"/>
            </w:rPr>
            <w:t xml:space="preserve">3.1. </w:t>
          </w:r>
          <w:r>
            <w:rPr>
              <w:rFonts w:hint="eastAsia"/>
              <w:lang w:eastAsia="zh-CN"/>
            </w:rPr>
            <w:t>保障业务决策的准确性与可靠性</w:t>
          </w:r>
          <w:r>
            <w:tab/>
          </w:r>
          <w:r>
            <w:fldChar w:fldCharType="begin"/>
          </w:r>
          <w:r>
            <w:instrText xml:space="preserve"> PAGEREF _Toc18245 \h </w:instrText>
          </w:r>
          <w:r>
            <w:fldChar w:fldCharType="separate"/>
          </w:r>
          <w:r>
            <w:t>5</w:t>
          </w:r>
          <w:r>
            <w:fldChar w:fldCharType="end"/>
          </w:r>
          <w:r>
            <w:rPr>
              <w:rFonts w:hint="eastAsia" w:ascii="宋体" w:hAnsi="宋体" w:cs="宋体"/>
              <w:szCs w:val="24"/>
            </w:rPr>
            <w:fldChar w:fldCharType="end"/>
          </w:r>
        </w:p>
        <w:p w14:paraId="6A2EDB1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_Toc29298 </w:instrText>
          </w:r>
          <w:r>
            <w:rPr>
              <w:rFonts w:hint="eastAsia" w:ascii="宋体" w:hAnsi="宋体" w:cs="宋体"/>
              <w:szCs w:val="24"/>
            </w:rPr>
            <w:fldChar w:fldCharType="separate"/>
          </w:r>
          <w:r>
            <w:rPr>
              <w:rFonts w:hint="default"/>
              <w:lang w:eastAsia="zh-CN"/>
            </w:rPr>
            <w:t xml:space="preserve">3.2. </w:t>
          </w:r>
          <w:r>
            <w:rPr>
              <w:rFonts w:hint="eastAsia"/>
              <w:lang w:eastAsia="zh-CN"/>
            </w:rPr>
            <w:t>支撑系统实时监控与连续运行</w:t>
          </w:r>
          <w:r>
            <w:tab/>
          </w:r>
          <w:r>
            <w:fldChar w:fldCharType="begin"/>
          </w:r>
          <w:r>
            <w:instrText xml:space="preserve"> PAGEREF _Toc29298 \h </w:instrText>
          </w:r>
          <w:r>
            <w:fldChar w:fldCharType="separate"/>
          </w:r>
          <w:r>
            <w:t>6</w:t>
          </w:r>
          <w:r>
            <w:fldChar w:fldCharType="end"/>
          </w:r>
          <w:r>
            <w:rPr>
              <w:rFonts w:hint="eastAsia" w:ascii="宋体" w:hAnsi="宋体" w:cs="宋体"/>
              <w:szCs w:val="24"/>
            </w:rPr>
            <w:fldChar w:fldCharType="end"/>
          </w:r>
        </w:p>
        <w:p w14:paraId="45EDB9F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_Toc4924 </w:instrText>
          </w:r>
          <w:r>
            <w:rPr>
              <w:rFonts w:hint="eastAsia" w:ascii="宋体" w:hAnsi="宋体" w:cs="宋体"/>
              <w:szCs w:val="24"/>
            </w:rPr>
            <w:fldChar w:fldCharType="separate"/>
          </w:r>
          <w:r>
            <w:rPr>
              <w:rFonts w:hint="default"/>
              <w:lang w:eastAsia="zh-CN"/>
            </w:rPr>
            <w:t xml:space="preserve">3.3. </w:t>
          </w:r>
          <w:r>
            <w:rPr>
              <w:rFonts w:hint="eastAsia"/>
              <w:lang w:eastAsia="zh-CN"/>
            </w:rPr>
            <w:t>实现多源数据的融合与统一</w:t>
          </w:r>
          <w:r>
            <w:tab/>
          </w:r>
          <w:r>
            <w:fldChar w:fldCharType="begin"/>
          </w:r>
          <w:r>
            <w:instrText xml:space="preserve"> PAGEREF _Toc4924 \h </w:instrText>
          </w:r>
          <w:r>
            <w:fldChar w:fldCharType="separate"/>
          </w:r>
          <w:r>
            <w:t>6</w:t>
          </w:r>
          <w:r>
            <w:fldChar w:fldCharType="end"/>
          </w:r>
          <w:r>
            <w:rPr>
              <w:rFonts w:hint="eastAsia" w:ascii="宋体" w:hAnsi="宋体" w:cs="宋体"/>
              <w:szCs w:val="24"/>
            </w:rPr>
            <w:fldChar w:fldCharType="end"/>
          </w:r>
        </w:p>
        <w:p w14:paraId="357521E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_Toc25305 </w:instrText>
          </w:r>
          <w:r>
            <w:rPr>
              <w:rFonts w:hint="eastAsia" w:ascii="宋体" w:hAnsi="宋体" w:cs="宋体"/>
              <w:szCs w:val="24"/>
            </w:rPr>
            <w:fldChar w:fldCharType="separate"/>
          </w:r>
          <w:r>
            <w:rPr>
              <w:rFonts w:hint="default"/>
              <w:lang w:eastAsia="zh-CN"/>
            </w:rPr>
            <w:t xml:space="preserve">3.4. </w:t>
          </w:r>
          <w:r>
            <w:rPr>
              <w:rFonts w:hint="eastAsia"/>
              <w:lang w:eastAsia="zh-CN"/>
            </w:rPr>
            <w:t>满足数据追溯与审计要求</w:t>
          </w:r>
          <w:r>
            <w:tab/>
          </w:r>
          <w:r>
            <w:fldChar w:fldCharType="begin"/>
          </w:r>
          <w:r>
            <w:instrText xml:space="preserve"> PAGEREF _Toc25305 \h </w:instrText>
          </w:r>
          <w:r>
            <w:fldChar w:fldCharType="separate"/>
          </w:r>
          <w:r>
            <w:t>6</w:t>
          </w:r>
          <w:r>
            <w:fldChar w:fldCharType="end"/>
          </w:r>
          <w:r>
            <w:rPr>
              <w:rFonts w:hint="eastAsia" w:ascii="宋体" w:hAnsi="宋体" w:cs="宋体"/>
              <w:szCs w:val="24"/>
            </w:rPr>
            <w:fldChar w:fldCharType="end"/>
          </w:r>
        </w:p>
        <w:p w14:paraId="54E913C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_Toc21313 </w:instrText>
          </w:r>
          <w:r>
            <w:rPr>
              <w:rFonts w:hint="eastAsia" w:ascii="宋体" w:hAnsi="宋体" w:cs="宋体"/>
              <w:szCs w:val="24"/>
            </w:rPr>
            <w:fldChar w:fldCharType="separate"/>
          </w:r>
          <w:r>
            <w:rPr>
              <w:rFonts w:hint="default"/>
              <w:lang w:eastAsia="zh-CN"/>
            </w:rPr>
            <w:t xml:space="preserve">4. </w:t>
          </w:r>
          <w:r>
            <w:rPr>
              <w:lang w:eastAsia="zh-CN"/>
            </w:rPr>
            <w:t>数据清洗非功能性需求</w:t>
          </w:r>
          <w:r>
            <w:tab/>
          </w:r>
          <w:r>
            <w:fldChar w:fldCharType="begin"/>
          </w:r>
          <w:r>
            <w:instrText xml:space="preserve"> PAGEREF _Toc21313 \h </w:instrText>
          </w:r>
          <w:r>
            <w:fldChar w:fldCharType="separate"/>
          </w:r>
          <w:r>
            <w:t>6</w:t>
          </w:r>
          <w:r>
            <w:fldChar w:fldCharType="end"/>
          </w:r>
          <w:r>
            <w:rPr>
              <w:rFonts w:hint="eastAsia" w:ascii="宋体" w:hAnsi="宋体" w:cs="宋体"/>
              <w:szCs w:val="24"/>
            </w:rPr>
            <w:fldChar w:fldCharType="end"/>
          </w:r>
        </w:p>
        <w:p w14:paraId="010702F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_Toc17602 </w:instrText>
          </w:r>
          <w:r>
            <w:rPr>
              <w:rFonts w:hint="eastAsia" w:ascii="宋体" w:hAnsi="宋体" w:cs="宋体"/>
              <w:szCs w:val="24"/>
            </w:rPr>
            <w:fldChar w:fldCharType="separate"/>
          </w:r>
          <w:r>
            <w:rPr>
              <w:rFonts w:hint="default"/>
              <w:lang w:eastAsia="zh-CN"/>
            </w:rPr>
            <w:t xml:space="preserve">4.1. </w:t>
          </w:r>
          <w:r>
            <w:rPr>
              <w:lang w:eastAsia="zh-CN"/>
            </w:rPr>
            <w:t>量化性能指标需求</w:t>
          </w:r>
          <w:r>
            <w:tab/>
          </w:r>
          <w:r>
            <w:fldChar w:fldCharType="begin"/>
          </w:r>
          <w:r>
            <w:instrText xml:space="preserve"> PAGEREF _Toc17602 \h </w:instrText>
          </w:r>
          <w:r>
            <w:fldChar w:fldCharType="separate"/>
          </w:r>
          <w:r>
            <w:t>6</w:t>
          </w:r>
          <w:r>
            <w:fldChar w:fldCharType="end"/>
          </w:r>
          <w:r>
            <w:rPr>
              <w:rFonts w:hint="eastAsia" w:ascii="宋体" w:hAnsi="宋体" w:cs="宋体"/>
              <w:szCs w:val="24"/>
            </w:rPr>
            <w:fldChar w:fldCharType="end"/>
          </w:r>
        </w:p>
        <w:p w14:paraId="4E56EC6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_Toc18119 </w:instrText>
          </w:r>
          <w:r>
            <w:rPr>
              <w:rFonts w:hint="eastAsia" w:ascii="宋体" w:hAnsi="宋体" w:cs="宋体"/>
              <w:szCs w:val="24"/>
            </w:rPr>
            <w:fldChar w:fldCharType="separate"/>
          </w:r>
          <w:r>
            <w:rPr>
              <w:rFonts w:hint="default"/>
              <w:lang w:eastAsia="zh-CN"/>
            </w:rPr>
            <w:t xml:space="preserve">4.2. </w:t>
          </w:r>
          <w:r>
            <w:rPr>
              <w:lang w:eastAsia="zh-CN"/>
            </w:rPr>
            <w:t>协同流程与管理需求</w:t>
          </w:r>
          <w:r>
            <w:tab/>
          </w:r>
          <w:r>
            <w:fldChar w:fldCharType="begin"/>
          </w:r>
          <w:r>
            <w:instrText xml:space="preserve"> PAGEREF _Toc18119 \h </w:instrText>
          </w:r>
          <w:r>
            <w:fldChar w:fldCharType="separate"/>
          </w:r>
          <w:r>
            <w:t>7</w:t>
          </w:r>
          <w:r>
            <w:fldChar w:fldCharType="end"/>
          </w:r>
          <w:r>
            <w:rPr>
              <w:rFonts w:hint="eastAsia" w:ascii="宋体" w:hAnsi="宋体" w:cs="宋体"/>
              <w:szCs w:val="24"/>
            </w:rPr>
            <w:fldChar w:fldCharType="end"/>
          </w:r>
        </w:p>
        <w:p w14:paraId="176AA7E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_Toc8464 </w:instrText>
          </w:r>
          <w:r>
            <w:rPr>
              <w:rFonts w:hint="eastAsia" w:ascii="宋体" w:hAnsi="宋体" w:cs="宋体"/>
              <w:szCs w:val="24"/>
            </w:rPr>
            <w:fldChar w:fldCharType="separate"/>
          </w:r>
          <w:r>
            <w:rPr>
              <w:rFonts w:hint="default"/>
              <w:lang w:eastAsia="zh-CN"/>
            </w:rPr>
            <w:t xml:space="preserve">5. </w:t>
          </w:r>
          <w:r>
            <w:rPr>
              <w:lang w:eastAsia="zh-CN"/>
            </w:rPr>
            <w:t>结论与后续工作建议</w:t>
          </w:r>
          <w:r>
            <w:tab/>
          </w:r>
          <w:r>
            <w:fldChar w:fldCharType="begin"/>
          </w:r>
          <w:r>
            <w:instrText xml:space="preserve"> PAGEREF _Toc8464 \h </w:instrText>
          </w:r>
          <w:r>
            <w:fldChar w:fldCharType="separate"/>
          </w:r>
          <w:r>
            <w:t>7</w:t>
          </w:r>
          <w:r>
            <w:fldChar w:fldCharType="end"/>
          </w:r>
          <w:r>
            <w:rPr>
              <w:rFonts w:hint="eastAsia" w:ascii="宋体" w:hAnsi="宋体" w:cs="宋体"/>
              <w:szCs w:val="24"/>
            </w:rPr>
            <w:fldChar w:fldCharType="end"/>
          </w:r>
        </w:p>
        <w:p w14:paraId="7ACB401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_Toc1374 </w:instrText>
          </w:r>
          <w:r>
            <w:rPr>
              <w:rFonts w:hint="eastAsia" w:ascii="宋体" w:hAnsi="宋体" w:cs="宋体"/>
              <w:szCs w:val="24"/>
            </w:rPr>
            <w:fldChar w:fldCharType="separate"/>
          </w:r>
          <w:r>
            <w:rPr>
              <w:rFonts w:hint="default"/>
              <w:lang w:eastAsia="zh-CN"/>
            </w:rPr>
            <w:t xml:space="preserve">5.1. </w:t>
          </w:r>
          <w:r>
            <w:rPr>
              <w:lang w:eastAsia="zh-CN"/>
            </w:rPr>
            <w:t>核心结论</w:t>
          </w:r>
          <w:r>
            <w:tab/>
          </w:r>
          <w:r>
            <w:fldChar w:fldCharType="begin"/>
          </w:r>
          <w:r>
            <w:instrText xml:space="preserve"> PAGEREF _Toc1374 \h </w:instrText>
          </w:r>
          <w:r>
            <w:fldChar w:fldCharType="separate"/>
          </w:r>
          <w:r>
            <w:t>7</w:t>
          </w:r>
          <w:r>
            <w:fldChar w:fldCharType="end"/>
          </w:r>
          <w:r>
            <w:rPr>
              <w:rFonts w:hint="eastAsia" w:ascii="宋体" w:hAnsi="宋体" w:cs="宋体"/>
              <w:szCs w:val="24"/>
            </w:rPr>
            <w:fldChar w:fldCharType="end"/>
          </w:r>
        </w:p>
        <w:p w14:paraId="250D9D1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_Toc612 </w:instrText>
          </w:r>
          <w:r>
            <w:rPr>
              <w:rFonts w:hint="eastAsia" w:ascii="宋体" w:hAnsi="宋体" w:cs="宋体"/>
              <w:szCs w:val="24"/>
            </w:rPr>
            <w:fldChar w:fldCharType="separate"/>
          </w:r>
          <w:r>
            <w:rPr>
              <w:rFonts w:hint="default"/>
              <w:lang w:eastAsia="zh-CN"/>
            </w:rPr>
            <w:t xml:space="preserve">5.2. </w:t>
          </w:r>
          <w:r>
            <w:rPr>
              <w:lang w:eastAsia="zh-CN"/>
            </w:rPr>
            <w:t>后续工作建议</w:t>
          </w:r>
          <w:r>
            <w:tab/>
          </w:r>
          <w:r>
            <w:fldChar w:fldCharType="begin"/>
          </w:r>
          <w:r>
            <w:instrText xml:space="preserve"> PAGEREF _Toc612 \h </w:instrText>
          </w:r>
          <w:r>
            <w:fldChar w:fldCharType="separate"/>
          </w:r>
          <w:r>
            <w:t>8</w:t>
          </w:r>
          <w:r>
            <w:fldChar w:fldCharType="end"/>
          </w:r>
          <w:r>
            <w:rPr>
              <w:rFonts w:hint="eastAsia" w:ascii="宋体" w:hAnsi="宋体" w:cs="宋体"/>
              <w:szCs w:val="24"/>
            </w:rPr>
            <w:fldChar w:fldCharType="end"/>
          </w:r>
        </w:p>
        <w:p w14:paraId="31A2A887">
          <w:pPr>
            <w:widowControl w:val="0"/>
            <w:rPr>
              <w:rFonts w:hint="eastAsia" w:ascii="宋体" w:hAnsi="宋体" w:cs="宋体"/>
              <w:sz w:val="24"/>
              <w:szCs w:val="24"/>
            </w:rPr>
          </w:pPr>
          <w:r>
            <w:rPr>
              <w:rFonts w:hint="eastAsia" w:ascii="宋体" w:hAnsi="宋体" w:cs="宋体"/>
              <w:szCs w:val="24"/>
            </w:rPr>
            <w:fldChar w:fldCharType="end"/>
          </w:r>
        </w:p>
      </w:sdtContent>
    </w:sdt>
    <w:p w14:paraId="5CC015CA">
      <w:pPr>
        <w:widowControl w:val="0"/>
        <w:rPr>
          <w:rFonts w:eastAsia="Arial"/>
        </w:rPr>
      </w:pPr>
      <w:r>
        <w:rPr>
          <w:rFonts w:eastAsia="Arial"/>
        </w:rPr>
        <w:br w:type="page"/>
      </w:r>
    </w:p>
    <w:p w14:paraId="26E2A57F">
      <w:pPr>
        <w:pStyle w:val="29"/>
        <w:keepNext w:val="0"/>
        <w:keepLines w:val="0"/>
        <w:widowControl w:val="0"/>
        <w:rPr>
          <w:lang w:eastAsia="zh-CN"/>
        </w:rPr>
      </w:pPr>
      <w:bookmarkStart w:id="2" w:name="_Toc1501"/>
      <w:r>
        <w:rPr>
          <w:lang w:eastAsia="zh-CN"/>
        </w:rPr>
        <w:t>引言</w:t>
      </w:r>
      <w:bookmarkEnd w:id="2"/>
    </w:p>
    <w:p w14:paraId="1C8B6249">
      <w:pPr>
        <w:pStyle w:val="31"/>
        <w:keepNext w:val="0"/>
        <w:keepLines w:val="0"/>
        <w:widowControl w:val="0"/>
        <w:rPr>
          <w:lang w:eastAsia="zh-CN"/>
        </w:rPr>
      </w:pPr>
      <w:bookmarkStart w:id="3" w:name="_Toc28946"/>
      <w:r>
        <w:rPr>
          <w:lang w:eastAsia="zh-CN"/>
        </w:rPr>
        <w:t>报告目的</w:t>
      </w:r>
      <w:bookmarkEnd w:id="3"/>
    </w:p>
    <w:p w14:paraId="1BD09BCB">
      <w:pPr>
        <w:pStyle w:val="30"/>
        <w:widowControl w:val="0"/>
        <w:ind w:firstLine="480"/>
      </w:pPr>
      <w:r>
        <w:rPr>
          <w:rFonts w:eastAsia="宋体"/>
        </w:rPr>
        <w:t>本报告旨在从项目甲方的业务目标与合同约定出发，系统性地分析与定义“</w:t>
      </w:r>
      <w:r>
        <w:rPr>
          <w:rFonts w:hint="eastAsia" w:eastAsia="宋体"/>
          <w:lang w:eastAsia="zh-CN"/>
        </w:rPr>
        <w:t>天津港引航中心引航信息系统及设备维护项目</w:t>
      </w:r>
      <w:r>
        <w:rPr>
          <w:rFonts w:eastAsia="宋体"/>
        </w:rPr>
        <w:t>”在数据质</w:t>
      </w:r>
      <w:r>
        <w:t>量层面的核心需求。本报告的输出，将作为指导和评估乙方（天津通海信息技术有限公司）制定《数据清洗策略方案》及开展后续工作的根本依据与验收基准。</w:t>
      </w:r>
    </w:p>
    <w:p w14:paraId="58C1896F">
      <w:pPr>
        <w:pStyle w:val="31"/>
        <w:keepNext w:val="0"/>
        <w:keepLines w:val="0"/>
        <w:widowControl w:val="0"/>
        <w:rPr>
          <w:lang w:eastAsia="zh-CN"/>
        </w:rPr>
      </w:pPr>
      <w:bookmarkStart w:id="4" w:name="_Toc14763"/>
      <w:r>
        <w:rPr>
          <w:lang w:eastAsia="zh-CN"/>
        </w:rPr>
        <w:t>编制依据</w:t>
      </w:r>
      <w:bookmarkEnd w:id="4"/>
    </w:p>
    <w:p w14:paraId="3D45E284">
      <w:pPr>
        <w:pStyle w:val="30"/>
        <w:widowControl w:val="0"/>
        <w:ind w:firstLine="480"/>
      </w:pPr>
      <w:r>
        <w:t>《采购合同》及其全部附件。</w:t>
      </w:r>
    </w:p>
    <w:p w14:paraId="7D821309">
      <w:pPr>
        <w:pStyle w:val="30"/>
        <w:widowControl w:val="0"/>
        <w:ind w:firstLine="480"/>
      </w:pPr>
      <w:r>
        <w:rPr>
          <w:rFonts w:hint="eastAsia"/>
        </w:rPr>
        <w:t>本项目涉及的引航信息系统各业务模块（如引航计划、船舶动态、拖轮调度、引航员排班、设备运行监控等）的业务需求与数据规范。</w:t>
      </w:r>
    </w:p>
    <w:p w14:paraId="29A9B590">
      <w:pPr>
        <w:pStyle w:val="31"/>
        <w:keepNext w:val="0"/>
        <w:keepLines w:val="0"/>
        <w:widowControl w:val="0"/>
        <w:rPr>
          <w:lang w:eastAsia="zh-CN"/>
        </w:rPr>
      </w:pPr>
      <w:bookmarkStart w:id="5" w:name="_Toc5159"/>
      <w:r>
        <w:rPr>
          <w:lang w:eastAsia="zh-CN"/>
        </w:rPr>
        <w:t>预期读者</w:t>
      </w:r>
      <w:bookmarkEnd w:id="5"/>
    </w:p>
    <w:p w14:paraId="7D7CF896">
      <w:pPr>
        <w:pStyle w:val="30"/>
        <w:widowControl w:val="0"/>
        <w:ind w:firstLine="480"/>
      </w:pPr>
      <w:r>
        <w:t>甲方项目管理层、技术评审小组</w:t>
      </w:r>
    </w:p>
    <w:p w14:paraId="1F29E542">
      <w:pPr>
        <w:pStyle w:val="30"/>
        <w:widowControl w:val="0"/>
        <w:ind w:firstLine="480"/>
      </w:pPr>
      <w:r>
        <w:t>乙方项目经理、技术负责人</w:t>
      </w:r>
    </w:p>
    <w:p w14:paraId="0B80AC23">
      <w:pPr>
        <w:pStyle w:val="30"/>
        <w:widowControl w:val="0"/>
        <w:ind w:firstLine="480"/>
      </w:pPr>
      <w:r>
        <w:t>项目后续的数据治理与验收相关方</w:t>
      </w:r>
    </w:p>
    <w:p w14:paraId="1FC79A25">
      <w:pPr>
        <w:pStyle w:val="29"/>
        <w:keepNext w:val="0"/>
        <w:keepLines w:val="0"/>
        <w:widowControl w:val="0"/>
        <w:rPr>
          <w:lang w:eastAsia="zh-CN"/>
        </w:rPr>
      </w:pPr>
      <w:bookmarkStart w:id="6" w:name="_Toc12044"/>
      <w:r>
        <w:rPr>
          <w:lang w:eastAsia="zh-CN"/>
        </w:rPr>
        <w:t>项目</w:t>
      </w:r>
      <w:r>
        <w:rPr>
          <w:rFonts w:hint="eastAsia"/>
          <w:lang w:eastAsia="zh-CN"/>
        </w:rPr>
        <w:t>背景与数据全景分析</w:t>
      </w:r>
      <w:bookmarkEnd w:id="6"/>
    </w:p>
    <w:p w14:paraId="2D6B90D3">
      <w:pPr>
        <w:pStyle w:val="31"/>
        <w:keepNext w:val="0"/>
        <w:keepLines w:val="0"/>
        <w:widowControl w:val="0"/>
        <w:rPr>
          <w:lang w:eastAsia="zh-CN"/>
        </w:rPr>
      </w:pPr>
      <w:bookmarkStart w:id="7" w:name="_Toc18885"/>
      <w:r>
        <w:rPr>
          <w:rFonts w:hint="eastAsia"/>
          <w:lang w:eastAsia="zh-CN"/>
        </w:rPr>
        <w:t>项目核心目标与数据依赖</w:t>
      </w:r>
      <w:bookmarkEnd w:id="7"/>
    </w:p>
    <w:p w14:paraId="244C41C3">
      <w:pPr>
        <w:pStyle w:val="30"/>
        <w:rPr>
          <w:rFonts w:hint="eastAsia"/>
          <w:lang w:eastAsia="zh-CN"/>
        </w:rPr>
      </w:pPr>
      <w:r>
        <w:rPr>
          <w:rFonts w:ascii="Segoe UI" w:hAnsi="Segoe UI" w:eastAsia="Segoe UI" w:cs="Segoe UI"/>
          <w:i w:val="0"/>
          <w:iCs w:val="0"/>
          <w:caps w:val="0"/>
          <w:color w:val="0F1115"/>
          <w:spacing w:val="0"/>
          <w:sz w:val="24"/>
          <w:szCs w:val="24"/>
          <w:shd w:val="clear" w:fill="FFFFFF"/>
        </w:rPr>
        <w:t>本项目的核心目标是保障天津港引航中心引航信息系统的稳定运行，确保系统及其相关模块的数据准确、完整、及时，支撑引航计划管理、船舶动态监控、引航员排班调度、设备运行维护等核心业务的正常开展。所有上层业务应用（如引航计划制定、船舶进出港调度、引航资源分配、统计报表分析）的有效性，均建立在高质量、可信赖的基础数据之上。数据质量是保障系统运行稳定性和引航作业决策准确性的关键因素。</w:t>
      </w:r>
    </w:p>
    <w:p w14:paraId="0116031F">
      <w:pPr>
        <w:pStyle w:val="31"/>
        <w:keepNext w:val="0"/>
        <w:keepLines w:val="0"/>
        <w:widowControl w:val="0"/>
        <w:rPr>
          <w:lang w:eastAsia="zh-CN"/>
        </w:rPr>
      </w:pPr>
      <w:bookmarkStart w:id="8" w:name="_Toc14352"/>
      <w:r>
        <w:rPr>
          <w:lang w:eastAsia="zh-CN"/>
        </w:rPr>
        <w:t>关键数据源识别与特征分析</w:t>
      </w:r>
      <w:bookmarkEnd w:id="8"/>
    </w:p>
    <w:p w14:paraId="042A88AC">
      <w:pPr>
        <w:pStyle w:val="30"/>
        <w:widowControl w:val="0"/>
        <w:ind w:firstLine="480"/>
      </w:pPr>
      <w:r>
        <w:rPr>
          <w:rFonts w:hint="eastAsia"/>
        </w:rPr>
        <w:t>主要数据源分类如表2-1所示</w:t>
      </w:r>
    </w:p>
    <w:p w14:paraId="34AA1356">
      <w:pPr>
        <w:pStyle w:val="30"/>
        <w:widowControl w:val="0"/>
        <w:ind w:firstLine="0" w:firstLineChars="0"/>
        <w:jc w:val="center"/>
        <w:rPr>
          <w:rFonts w:hint="eastAsia"/>
        </w:rP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主要数据源分类</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3291"/>
        <w:gridCol w:w="4117"/>
      </w:tblGrid>
      <w:tr w14:paraId="0361C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79A1DBD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数据域</w:t>
            </w:r>
          </w:p>
        </w:tc>
        <w:tc>
          <w:tcPr>
            <w:tcW w:w="3291" w:type="dxa"/>
            <w:tcBorders>
              <w:top w:val="single" w:color="auto" w:sz="12"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29CC2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典型数据源</w:t>
            </w:r>
          </w:p>
        </w:tc>
        <w:tc>
          <w:tcPr>
            <w:tcW w:w="4117"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251C54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数据特征与潜在风险</w:t>
            </w:r>
          </w:p>
        </w:tc>
      </w:tr>
      <w:tr w14:paraId="5E05C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84E42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引航计划数据</w:t>
            </w:r>
          </w:p>
        </w:tc>
        <w:tc>
          <w:tcPr>
            <w:tcW w:w="329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6487F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引航申请、引航计划、引航工单、计划变更记录</w:t>
            </w:r>
          </w:p>
        </w:tc>
        <w:tc>
          <w:tcPr>
            <w:tcW w:w="411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63914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数据关联复杂；存在计划与执行脱节、变更记录缺失、引航时段冲突等问题</w:t>
            </w:r>
          </w:p>
        </w:tc>
      </w:tr>
      <w:tr w14:paraId="0E2E3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C6F83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船舶动态数据</w:t>
            </w:r>
          </w:p>
        </w:tc>
        <w:tc>
          <w:tcPr>
            <w:tcW w:w="329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4CD90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AIS数据、船舶进出港记录、船舶档案、船舶预报信息</w:t>
            </w:r>
          </w:p>
        </w:tc>
        <w:tc>
          <w:tcPr>
            <w:tcW w:w="411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E980D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数据实时性要求高；存在船舶身份识别错误、动态信息延迟、船名/呼号不一致等风险</w:t>
            </w:r>
          </w:p>
        </w:tc>
      </w:tr>
      <w:tr w14:paraId="65181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9A280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引航员管理数据</w:t>
            </w:r>
          </w:p>
        </w:tc>
        <w:tc>
          <w:tcPr>
            <w:tcW w:w="329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AA82F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引航员档案、资质证书、排班记录、考勤统计</w:t>
            </w:r>
          </w:p>
        </w:tc>
        <w:tc>
          <w:tcPr>
            <w:tcW w:w="411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079B41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数据敏感性高；存在资质过期未更新、证书编号不一致、排班冲突与工时超限等问题</w:t>
            </w:r>
          </w:p>
        </w:tc>
      </w:tr>
      <w:tr w14:paraId="5AF85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C96FC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设备运维数据</w:t>
            </w:r>
          </w:p>
        </w:tc>
        <w:tc>
          <w:tcPr>
            <w:tcW w:w="329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0BA75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设备台账、维修记录、保养计划、故障报修单、巡检记录</w:t>
            </w:r>
          </w:p>
        </w:tc>
        <w:tc>
          <w:tcPr>
            <w:tcW w:w="411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4AADD5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数据格式多样；存在设备编码不统一、维修记录缺失、保养计划逾期未执行、备件信息不完整等风险</w:t>
            </w:r>
          </w:p>
        </w:tc>
      </w:tr>
      <w:tr w14:paraId="743EA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95EDC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调度与资源数据</w:t>
            </w:r>
          </w:p>
        </w:tc>
        <w:tc>
          <w:tcPr>
            <w:tcW w:w="329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038532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拖轮调度记录、引航资源分配、泊位信息、航道状态</w:t>
            </w:r>
          </w:p>
        </w:tc>
        <w:tc>
          <w:tcPr>
            <w:tcW w:w="411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7BAB8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存在资源冲突、调度指令与执行不一致、泊位编码不统一等问题</w:t>
            </w:r>
          </w:p>
        </w:tc>
      </w:tr>
      <w:tr w14:paraId="3D744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BB496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费用与结算数据</w:t>
            </w:r>
          </w:p>
        </w:tc>
        <w:tc>
          <w:tcPr>
            <w:tcW w:w="3291"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23513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引航费收记录、结算凭证、应收账款、收费明细</w:t>
            </w:r>
          </w:p>
        </w:tc>
        <w:tc>
          <w:tcPr>
            <w:tcW w:w="4117"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4327F1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数据准确性要求极高；存在费率引用错误、计费吨位不一致、结算凭证日期混乱等风险</w:t>
            </w:r>
          </w:p>
        </w:tc>
      </w:tr>
      <w:tr w14:paraId="5219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14"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355266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系统日志与监控数据</w:t>
            </w:r>
          </w:p>
        </w:tc>
        <w:tc>
          <w:tcPr>
            <w:tcW w:w="3291" w:type="dxa"/>
            <w:tcBorders>
              <w:top w:val="single" w:color="auto" w:sz="4" w:space="0"/>
              <w:left w:val="single" w:color="auto" w:sz="4" w:space="0"/>
              <w:bottom w:val="single" w:color="auto" w:sz="12" w:space="0"/>
              <w:right w:val="nil"/>
            </w:tcBorders>
            <w:shd w:val="clear" w:color="auto" w:fill="auto"/>
            <w:noWrap w:val="0"/>
            <w:tcMar>
              <w:top w:w="150" w:type="dxa"/>
              <w:left w:w="240" w:type="dxa"/>
              <w:bottom w:w="150" w:type="dxa"/>
              <w:right w:w="240" w:type="dxa"/>
            </w:tcMar>
            <w:vAlign w:val="center"/>
          </w:tcPr>
          <w:p w14:paraId="0297A4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应用日志、数据库日志、用户操作日志、接口调用日志、性能监控数据</w:t>
            </w:r>
          </w:p>
        </w:tc>
        <w:tc>
          <w:tcPr>
            <w:tcW w:w="4117"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45C365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数据体量大；存在时间戳不准、关键告警被淹没、日志格式不统一、接口调用失败未记录等问题</w:t>
            </w:r>
          </w:p>
        </w:tc>
      </w:tr>
    </w:tbl>
    <w:p w14:paraId="16A79278">
      <w:pPr>
        <w:pStyle w:val="30"/>
        <w:widowControl w:val="0"/>
        <w:ind w:firstLine="0" w:firstLineChars="0"/>
        <w:jc w:val="center"/>
        <w:rPr>
          <w:rFonts w:hint="eastAsia"/>
        </w:rPr>
      </w:pPr>
    </w:p>
    <w:p w14:paraId="723286FB">
      <w:pPr>
        <w:pStyle w:val="29"/>
        <w:keepNext w:val="0"/>
        <w:keepLines w:val="0"/>
        <w:widowControl w:val="0"/>
        <w:rPr>
          <w:lang w:eastAsia="zh-CN"/>
        </w:rPr>
      </w:pPr>
      <w:bookmarkStart w:id="9" w:name="_Toc28603"/>
      <w:r>
        <w:rPr>
          <w:lang w:eastAsia="zh-CN"/>
        </w:rPr>
        <w:t>数据清洗核心业务需求</w:t>
      </w:r>
      <w:bookmarkEnd w:id="9"/>
    </w:p>
    <w:p w14:paraId="4125B2C0">
      <w:pPr>
        <w:pStyle w:val="31"/>
        <w:bidi w:val="0"/>
        <w:rPr>
          <w:rFonts w:hint="eastAsia"/>
          <w:lang w:eastAsia="zh-CN"/>
        </w:rPr>
      </w:pPr>
      <w:bookmarkStart w:id="10" w:name="_Toc18245"/>
      <w:r>
        <w:rPr>
          <w:rFonts w:hint="eastAsia"/>
          <w:lang w:eastAsia="zh-CN"/>
        </w:rPr>
        <w:t>保障业务决策的准确性与可靠性</w:t>
      </w:r>
      <w:bookmarkEnd w:id="10"/>
    </w:p>
    <w:p w14:paraId="756F8037">
      <w:pPr>
        <w:pStyle w:val="30"/>
        <w:rPr>
          <w:rFonts w:hint="eastAsia"/>
          <w:lang w:eastAsia="zh-CN"/>
        </w:rPr>
      </w:pPr>
      <w:r>
        <w:rPr>
          <w:rFonts w:ascii="Segoe UI" w:hAnsi="Segoe UI" w:eastAsia="Segoe UI" w:cs="Segoe UI"/>
          <w:i w:val="0"/>
          <w:iCs w:val="0"/>
          <w:caps w:val="0"/>
          <w:color w:val="0F1115"/>
          <w:spacing w:val="0"/>
          <w:sz w:val="24"/>
          <w:szCs w:val="24"/>
          <w:shd w:val="clear" w:fill="FFFFFF"/>
        </w:rPr>
        <w:t>用于引航计划编制的船舶动态数据、用于资源调度的引航员与拖轮可用性数据、用于费用结算的引航费收记录数据，其准确性必须达到引航作业安全规范及天津港引航中心内部管理要求。</w:t>
      </w:r>
    </w:p>
    <w:p w14:paraId="4CBC8245">
      <w:pPr>
        <w:pStyle w:val="31"/>
        <w:bidi w:val="0"/>
        <w:rPr>
          <w:rFonts w:hint="eastAsia"/>
          <w:lang w:eastAsia="zh-CN"/>
        </w:rPr>
      </w:pPr>
      <w:bookmarkStart w:id="11" w:name="_Toc29298"/>
      <w:r>
        <w:rPr>
          <w:rFonts w:hint="eastAsia"/>
          <w:lang w:eastAsia="zh-CN"/>
        </w:rPr>
        <w:t>支撑系统实时监控与连续运行</w:t>
      </w:r>
      <w:bookmarkEnd w:id="11"/>
    </w:p>
    <w:p w14:paraId="21677C73">
      <w:pPr>
        <w:pStyle w:val="30"/>
        <w:rPr>
          <w:rFonts w:hint="eastAsia"/>
          <w:lang w:eastAsia="zh-CN"/>
        </w:rPr>
      </w:pPr>
      <w:r>
        <w:rPr>
          <w:rFonts w:hint="eastAsia"/>
          <w:lang w:eastAsia="zh-CN"/>
        </w:rPr>
        <w:t>具体描述：引航信息系统需支持天津港引航中心日常业务7×24小时连续运行，关键业务数据的延迟或中断将影响船舶调度安全与引航决策。</w:t>
      </w:r>
    </w:p>
    <w:p w14:paraId="33756614">
      <w:pPr>
        <w:pStyle w:val="30"/>
        <w:rPr>
          <w:rFonts w:hint="eastAsia"/>
          <w:lang w:eastAsia="zh-CN"/>
        </w:rPr>
      </w:pPr>
      <w:r>
        <w:rPr>
          <w:rFonts w:hint="eastAsia"/>
          <w:lang w:eastAsia="zh-CN"/>
        </w:rPr>
        <w:t>对清洗工作的要求：必须建立数据流水线的健康度监控，能快速诊断数据中断源（如AIS接口异常、数据库故障或网络问题），并对非故障性短暂缺失提供合理的补偿策略。</w:t>
      </w:r>
    </w:p>
    <w:p w14:paraId="5117CFB0">
      <w:pPr>
        <w:pStyle w:val="31"/>
        <w:bidi w:val="0"/>
        <w:rPr>
          <w:rFonts w:hint="eastAsia"/>
          <w:lang w:eastAsia="zh-CN"/>
        </w:rPr>
      </w:pPr>
      <w:bookmarkStart w:id="12" w:name="_Toc4924"/>
      <w:r>
        <w:rPr>
          <w:rFonts w:hint="eastAsia"/>
          <w:lang w:eastAsia="zh-CN"/>
        </w:rPr>
        <w:t>实现多源数据的融合与统一</w:t>
      </w:r>
      <w:bookmarkEnd w:id="12"/>
    </w:p>
    <w:p w14:paraId="02945EF3">
      <w:pPr>
        <w:pStyle w:val="30"/>
        <w:rPr>
          <w:rFonts w:hint="eastAsia"/>
          <w:lang w:eastAsia="zh-CN"/>
        </w:rPr>
      </w:pPr>
      <w:r>
        <w:rPr>
          <w:rFonts w:hint="eastAsia"/>
          <w:lang w:eastAsia="zh-CN"/>
        </w:rPr>
        <w:t>具体描述：</w:t>
      </w:r>
    </w:p>
    <w:p w14:paraId="6BF98114">
      <w:pPr>
        <w:pStyle w:val="30"/>
        <w:rPr>
          <w:rFonts w:hint="eastAsia"/>
          <w:lang w:eastAsia="zh-CN"/>
        </w:rPr>
      </w:pPr>
      <w:r>
        <w:rPr>
          <w:rFonts w:hint="eastAsia"/>
          <w:lang w:eastAsia="zh-CN"/>
        </w:rPr>
        <w:t>系统需将引航计划、船舶动态、引航员排班、拖轮调度、设备运维、费用结算等不同模块的数据进行关联分析与综合展示。</w:t>
      </w:r>
    </w:p>
    <w:p w14:paraId="301534B7">
      <w:pPr>
        <w:pStyle w:val="30"/>
        <w:rPr>
          <w:rFonts w:hint="eastAsia"/>
          <w:lang w:eastAsia="zh-CN"/>
        </w:rPr>
      </w:pPr>
      <w:r>
        <w:rPr>
          <w:rFonts w:hint="eastAsia"/>
          <w:lang w:eastAsia="zh-CN"/>
        </w:rPr>
        <w:t>对清洗工作的要求：</w:t>
      </w:r>
    </w:p>
    <w:p w14:paraId="470419E6">
      <w:pPr>
        <w:pStyle w:val="30"/>
        <w:rPr>
          <w:rFonts w:hint="eastAsia"/>
          <w:lang w:eastAsia="zh-CN"/>
        </w:rPr>
      </w:pPr>
      <w:r>
        <w:rPr>
          <w:rFonts w:hint="eastAsia"/>
          <w:lang w:eastAsia="zh-CN"/>
        </w:rPr>
        <w:t>必须制定并执行统一的数据标准（如船舶识别号/MMSI码、引航员工号、拖轮编号、泊位编码、费率编码），清洗过程需包含对不一致代码的转换与映射，确保数据能基于统一的"主数据"（如船舶主数据、引航员主数据、设备资产主数据）进行关联。</w:t>
      </w:r>
    </w:p>
    <w:p w14:paraId="2A5A4FC4">
      <w:pPr>
        <w:pStyle w:val="31"/>
        <w:bidi w:val="0"/>
        <w:rPr>
          <w:rFonts w:hint="eastAsia"/>
          <w:lang w:eastAsia="zh-CN"/>
        </w:rPr>
      </w:pPr>
      <w:bookmarkStart w:id="13" w:name="_Toc25305"/>
      <w:r>
        <w:rPr>
          <w:rFonts w:hint="eastAsia"/>
          <w:lang w:eastAsia="zh-CN"/>
        </w:rPr>
        <w:t>满足数据追溯与审计要求</w:t>
      </w:r>
      <w:bookmarkEnd w:id="13"/>
    </w:p>
    <w:p w14:paraId="49D5F90B">
      <w:pPr>
        <w:pStyle w:val="30"/>
        <w:rPr>
          <w:rFonts w:hint="eastAsia"/>
          <w:lang w:eastAsia="zh-CN"/>
        </w:rPr>
      </w:pPr>
      <w:r>
        <w:rPr>
          <w:rFonts w:hint="eastAsia"/>
          <w:lang w:eastAsia="zh-CN"/>
        </w:rPr>
        <w:t>具体描述：</w:t>
      </w:r>
    </w:p>
    <w:p w14:paraId="26325CD6">
      <w:pPr>
        <w:pStyle w:val="30"/>
        <w:rPr>
          <w:rFonts w:hint="eastAsia"/>
          <w:lang w:eastAsia="zh-CN"/>
        </w:rPr>
      </w:pPr>
      <w:r>
        <w:rPr>
          <w:rFonts w:hint="eastAsia"/>
          <w:lang w:eastAsia="zh-CN"/>
        </w:rPr>
        <w:t>天津港引航中心需满足港口作业安全管理规范及引航中心内部审计要求，对于引航计划变更、船舶动态记录、引航员排班调整、设备运维记录等关键数据，需要能够追溯原始数据及处理过程。</w:t>
      </w:r>
    </w:p>
    <w:p w14:paraId="69286BAB">
      <w:pPr>
        <w:pStyle w:val="30"/>
        <w:rPr>
          <w:rFonts w:hint="eastAsia"/>
          <w:lang w:eastAsia="zh-CN"/>
        </w:rPr>
      </w:pPr>
      <w:r>
        <w:rPr>
          <w:rFonts w:hint="eastAsia"/>
          <w:lang w:eastAsia="zh-CN"/>
        </w:rPr>
        <w:t>对清洗工作的要求：</w:t>
      </w:r>
    </w:p>
    <w:p w14:paraId="0A350E6E">
      <w:pPr>
        <w:pStyle w:val="30"/>
        <w:rPr>
          <w:rFonts w:hint="eastAsia"/>
          <w:lang w:eastAsia="zh-CN"/>
        </w:rPr>
      </w:pPr>
      <w:r>
        <w:rPr>
          <w:rFonts w:hint="eastAsia"/>
          <w:lang w:eastAsia="zh-CN"/>
        </w:rPr>
        <w:t>清洗过程必须全程留痕，记录数据从原始状态到最终状态的每一步变换逻辑与责任人，确保数据血缘清晰、可审计。</w:t>
      </w:r>
    </w:p>
    <w:p w14:paraId="0C5CE650">
      <w:pPr>
        <w:pStyle w:val="29"/>
        <w:keepNext w:val="0"/>
        <w:keepLines w:val="0"/>
        <w:widowControl w:val="0"/>
        <w:rPr>
          <w:lang w:eastAsia="zh-CN"/>
        </w:rPr>
      </w:pPr>
      <w:bookmarkStart w:id="14" w:name="_Toc21313"/>
      <w:r>
        <w:rPr>
          <w:lang w:eastAsia="zh-CN"/>
        </w:rPr>
        <w:t>数据清洗非功能性需求</w:t>
      </w:r>
      <w:bookmarkEnd w:id="14"/>
    </w:p>
    <w:p w14:paraId="4214861E">
      <w:pPr>
        <w:pStyle w:val="31"/>
        <w:keepNext w:val="0"/>
        <w:keepLines w:val="0"/>
        <w:widowControl w:val="0"/>
        <w:rPr>
          <w:lang w:eastAsia="zh-CN"/>
        </w:rPr>
      </w:pPr>
      <w:bookmarkStart w:id="15" w:name="_Toc17602"/>
      <w:r>
        <w:rPr>
          <w:lang w:eastAsia="zh-CN"/>
        </w:rPr>
        <w:t>量化性能指标需求</w:t>
      </w:r>
      <w:bookmarkEnd w:id="15"/>
    </w:p>
    <w:p w14:paraId="55F0B35E">
      <w:pPr>
        <w:pStyle w:val="30"/>
        <w:widowControl w:val="0"/>
        <w:ind w:firstLine="480"/>
      </w:pPr>
      <w:r>
        <w:t>为确保清洗工作本身有效且可控，需预先定义以下可衡量的指标</w:t>
      </w:r>
    </w:p>
    <w:p w14:paraId="3A983CCA">
      <w:pPr>
        <w:pStyle w:val="30"/>
        <w:widowControl w:val="0"/>
        <w:ind w:firstLine="480"/>
      </w:pPr>
      <w:r>
        <w:rPr>
          <w:rFonts w:hint="eastAsia"/>
        </w:rPr>
        <w:t>衡量指标如表4-1所示。</w:t>
      </w:r>
    </w:p>
    <w:p w14:paraId="090FFA24">
      <w:pPr>
        <w:pStyle w:val="30"/>
        <w:widowControl w:val="0"/>
        <w:ind w:firstLine="0" w:firstLineChars="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衡量指标</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37"/>
        <w:gridCol w:w="2958"/>
        <w:gridCol w:w="4829"/>
      </w:tblGrid>
      <w:tr w14:paraId="0AC0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20" w:type="dxa"/>
              <w:left w:w="0" w:type="dxa"/>
              <w:bottom w:w="120" w:type="dxa"/>
              <w:right w:w="192" w:type="dxa"/>
            </w:tcMar>
            <w:vAlign w:val="center"/>
          </w:tcPr>
          <w:p w14:paraId="45744E7F">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指标类别</w:t>
            </w:r>
          </w:p>
        </w:tc>
        <w:tc>
          <w:tcPr>
            <w:tcW w:w="0" w:type="auto"/>
            <w:tcMar>
              <w:top w:w="120" w:type="dxa"/>
              <w:left w:w="192" w:type="dxa"/>
              <w:bottom w:w="120" w:type="dxa"/>
              <w:right w:w="192" w:type="dxa"/>
            </w:tcMar>
            <w:vAlign w:val="center"/>
          </w:tcPr>
          <w:p w14:paraId="1C5657D3">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需求描述</w:t>
            </w:r>
          </w:p>
        </w:tc>
        <w:tc>
          <w:tcPr>
            <w:tcW w:w="0" w:type="auto"/>
            <w:tcMar>
              <w:top w:w="120" w:type="dxa"/>
              <w:left w:w="192" w:type="dxa"/>
              <w:bottom w:w="120" w:type="dxa"/>
              <w:right w:w="192" w:type="dxa"/>
            </w:tcMar>
            <w:vAlign w:val="center"/>
          </w:tcPr>
          <w:p w14:paraId="20E927F8">
            <w:pPr>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示例性量化要求</w:t>
            </w:r>
          </w:p>
        </w:tc>
      </w:tr>
      <w:tr w14:paraId="5BDA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604ED601">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清洗有效性</w:t>
            </w:r>
          </w:p>
        </w:tc>
        <w:tc>
          <w:tcPr>
            <w:tcW w:w="0" w:type="auto"/>
            <w:tcMar>
              <w:top w:w="120" w:type="dxa"/>
              <w:left w:w="192" w:type="dxa"/>
              <w:bottom w:w="120" w:type="dxa"/>
              <w:right w:w="192" w:type="dxa"/>
            </w:tcMar>
            <w:vAlign w:val="center"/>
          </w:tcPr>
          <w:p w14:paraId="46844EEE">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清洗后数据应达到的质量水平</w:t>
            </w:r>
          </w:p>
        </w:tc>
        <w:tc>
          <w:tcPr>
            <w:tcW w:w="0" w:type="auto"/>
            <w:tcMar>
              <w:top w:w="120" w:type="dxa"/>
              <w:left w:w="192" w:type="dxa"/>
              <w:bottom w:w="120" w:type="dxa"/>
              <w:right w:w="0" w:type="dxa"/>
            </w:tcMar>
            <w:vAlign w:val="center"/>
          </w:tcPr>
          <w:p w14:paraId="7C5A6B14">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核心业务字段的填充率 ≥ 99%；</w:t>
            </w:r>
            <w:r>
              <w:rPr>
                <w:rFonts w:ascii="Segoe UI" w:hAnsi="Segoe UI" w:eastAsia="Segoe UI" w:cs="Segoe UI"/>
                <w:sz w:val="18"/>
                <w:szCs w:val="18"/>
                <w:lang w:eastAsia="zh-CN"/>
              </w:rPr>
              <w:br w:type="textWrapping"/>
            </w:r>
            <w:r>
              <w:rPr>
                <w:rFonts w:ascii="Segoe UI" w:hAnsi="Segoe UI" w:eastAsia="Segoe UI" w:cs="Segoe UI"/>
                <w:sz w:val="18"/>
                <w:szCs w:val="18"/>
                <w:lang w:eastAsia="zh-CN"/>
              </w:rPr>
              <w:t>关键识别类数据的准确率 ≥ 95%。</w:t>
            </w:r>
          </w:p>
        </w:tc>
      </w:tr>
      <w:tr w14:paraId="3F67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7304B6EC">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处理时效性</w:t>
            </w:r>
          </w:p>
        </w:tc>
        <w:tc>
          <w:tcPr>
            <w:tcW w:w="0" w:type="auto"/>
            <w:tcMar>
              <w:top w:w="120" w:type="dxa"/>
              <w:left w:w="192" w:type="dxa"/>
              <w:bottom w:w="120" w:type="dxa"/>
              <w:right w:w="192" w:type="dxa"/>
            </w:tcMar>
            <w:vAlign w:val="center"/>
          </w:tcPr>
          <w:p w14:paraId="3A5204F1">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清洗过程不应成为数据使用的瓶颈</w:t>
            </w:r>
          </w:p>
        </w:tc>
        <w:tc>
          <w:tcPr>
            <w:tcW w:w="0" w:type="auto"/>
            <w:tcMar>
              <w:top w:w="120" w:type="dxa"/>
              <w:left w:w="192" w:type="dxa"/>
              <w:bottom w:w="120" w:type="dxa"/>
              <w:right w:w="0" w:type="dxa"/>
            </w:tcMar>
            <w:vAlign w:val="center"/>
          </w:tcPr>
          <w:p w14:paraId="0292F167">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95%的数据记录从接入到完成清洗可用，延迟 ≤ 10秒。</w:t>
            </w:r>
          </w:p>
        </w:tc>
      </w:tr>
      <w:tr w14:paraId="0DC0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57C447C3">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系统可靠性</w:t>
            </w:r>
          </w:p>
        </w:tc>
        <w:tc>
          <w:tcPr>
            <w:tcW w:w="0" w:type="auto"/>
            <w:tcMar>
              <w:top w:w="120" w:type="dxa"/>
              <w:left w:w="192" w:type="dxa"/>
              <w:bottom w:w="120" w:type="dxa"/>
              <w:right w:w="192" w:type="dxa"/>
            </w:tcMar>
            <w:vAlign w:val="center"/>
          </w:tcPr>
          <w:p w14:paraId="42D6CDF8">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清洗服务本身应高可用</w:t>
            </w:r>
          </w:p>
        </w:tc>
        <w:tc>
          <w:tcPr>
            <w:tcW w:w="0" w:type="auto"/>
            <w:tcMar>
              <w:top w:w="120" w:type="dxa"/>
              <w:left w:w="192" w:type="dxa"/>
              <w:bottom w:w="120" w:type="dxa"/>
              <w:right w:w="0" w:type="dxa"/>
            </w:tcMar>
            <w:vAlign w:val="center"/>
          </w:tcPr>
          <w:p w14:paraId="74F7FEF5">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数据清洗服务可用性 ≥ 99.9%。</w:t>
            </w:r>
          </w:p>
        </w:tc>
      </w:tr>
      <w:tr w14:paraId="7B37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42D7E100">
            <w:pPr>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流程可管理性</w:t>
            </w:r>
          </w:p>
        </w:tc>
        <w:tc>
          <w:tcPr>
            <w:tcW w:w="0" w:type="auto"/>
            <w:tcMar>
              <w:top w:w="120" w:type="dxa"/>
              <w:left w:w="192" w:type="dxa"/>
              <w:bottom w:w="120" w:type="dxa"/>
              <w:right w:w="192" w:type="dxa"/>
            </w:tcMar>
            <w:vAlign w:val="center"/>
          </w:tcPr>
          <w:p w14:paraId="4BAED539">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清洗规则应易于维护和调整</w:t>
            </w:r>
          </w:p>
        </w:tc>
        <w:tc>
          <w:tcPr>
            <w:tcW w:w="0" w:type="auto"/>
            <w:tcMar>
              <w:top w:w="120" w:type="dxa"/>
              <w:left w:w="192" w:type="dxa"/>
              <w:bottom w:w="120" w:type="dxa"/>
              <w:right w:w="0" w:type="dxa"/>
            </w:tcMar>
            <w:vAlign w:val="center"/>
          </w:tcPr>
          <w:p w14:paraId="0871F110">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支持通过配置界面管理80%以上的业务规则，无需修改代码。</w:t>
            </w:r>
          </w:p>
        </w:tc>
      </w:tr>
    </w:tbl>
    <w:p w14:paraId="10A545B2">
      <w:pPr>
        <w:pStyle w:val="31"/>
        <w:keepNext w:val="0"/>
        <w:keepLines w:val="0"/>
        <w:widowControl w:val="0"/>
        <w:rPr>
          <w:lang w:eastAsia="zh-CN"/>
        </w:rPr>
      </w:pPr>
      <w:bookmarkStart w:id="16" w:name="_Toc18119"/>
      <w:r>
        <w:rPr>
          <w:lang w:eastAsia="zh-CN"/>
        </w:rPr>
        <w:t>协同流程与管理需求</w:t>
      </w:r>
      <w:bookmarkEnd w:id="16"/>
    </w:p>
    <w:p w14:paraId="30BFC035">
      <w:pPr>
        <w:pStyle w:val="30"/>
        <w:bidi w:val="0"/>
        <w:rPr>
          <w:rFonts w:hint="eastAsia"/>
        </w:rPr>
      </w:pPr>
      <w:r>
        <w:rPr>
          <w:rFonts w:hint="eastAsia"/>
        </w:rPr>
        <w:t>规则制定流程：</w:t>
      </w:r>
    </w:p>
    <w:p w14:paraId="4C999545">
      <w:pPr>
        <w:pStyle w:val="30"/>
        <w:bidi w:val="0"/>
        <w:rPr>
          <w:rFonts w:hint="eastAsia"/>
        </w:rPr>
      </w:pPr>
      <w:r>
        <w:rPr>
          <w:rFonts w:hint="eastAsia"/>
        </w:rPr>
        <w:t>必须建立由甲方业务部门（如引航调度科、设备管理科、计费科等）发起、双方技术团队确认的数据清洗规则制定与评审闭环流程。</w:t>
      </w:r>
    </w:p>
    <w:p w14:paraId="2F5C73C7">
      <w:pPr>
        <w:pStyle w:val="30"/>
        <w:bidi w:val="0"/>
        <w:rPr>
          <w:rFonts w:hint="eastAsia"/>
        </w:rPr>
      </w:pPr>
      <w:r>
        <w:rPr>
          <w:rFonts w:hint="eastAsia"/>
        </w:rPr>
        <w:t>问题处置流程：</w:t>
      </w:r>
    </w:p>
    <w:p w14:paraId="655DB44E">
      <w:pPr>
        <w:pStyle w:val="30"/>
        <w:bidi w:val="0"/>
        <w:rPr>
          <w:rFonts w:hint="eastAsia"/>
        </w:rPr>
      </w:pPr>
      <w:r>
        <w:rPr>
          <w:rFonts w:hint="eastAsia"/>
        </w:rPr>
        <w:t>必须定义清晰的数据质量异常事件（如某类数据准确率持续下降、关键字段缺失率超阈值）的发现、上报、分析与处置流程，并明确双方接口人。</w:t>
      </w:r>
    </w:p>
    <w:p w14:paraId="4626BC2A">
      <w:pPr>
        <w:pStyle w:val="30"/>
        <w:bidi w:val="0"/>
        <w:rPr>
          <w:rFonts w:hint="eastAsia"/>
        </w:rPr>
      </w:pPr>
      <w:r>
        <w:rPr>
          <w:rFonts w:hint="eastAsia"/>
        </w:rPr>
        <w:t>交付物需求：</w:t>
      </w:r>
    </w:p>
    <w:p w14:paraId="2BF819CA">
      <w:pPr>
        <w:pStyle w:val="30"/>
        <w:bidi w:val="0"/>
        <w:rPr>
          <w:rFonts w:hint="eastAsia"/>
        </w:rPr>
      </w:pPr>
      <w:r>
        <w:rPr>
          <w:rFonts w:hint="eastAsia"/>
        </w:rPr>
        <w:t>清洗工作需产出明确的交付物，包括但不限于：</w:t>
      </w:r>
    </w:p>
    <w:p w14:paraId="47CD5F55">
      <w:pPr>
        <w:pStyle w:val="30"/>
        <w:numPr>
          <w:ilvl w:val="0"/>
          <w:numId w:val="2"/>
        </w:numPr>
        <w:bidi w:val="0"/>
        <w:ind w:left="425" w:leftChars="0" w:hanging="425" w:firstLineChars="0"/>
        <w:rPr>
          <w:rFonts w:hint="eastAsia"/>
        </w:rPr>
      </w:pPr>
      <w:r>
        <w:rPr>
          <w:rFonts w:hint="eastAsia"/>
        </w:rPr>
        <w:t>《数据清洗规则库》</w:t>
      </w:r>
    </w:p>
    <w:p w14:paraId="5F858B92">
      <w:pPr>
        <w:pStyle w:val="30"/>
        <w:numPr>
          <w:ilvl w:val="0"/>
          <w:numId w:val="2"/>
        </w:numPr>
        <w:bidi w:val="0"/>
        <w:ind w:left="425" w:leftChars="0" w:hanging="425" w:firstLineChars="0"/>
        <w:rPr>
          <w:rFonts w:hint="eastAsia"/>
        </w:rPr>
      </w:pPr>
      <w:r>
        <w:rPr>
          <w:rFonts w:hint="eastAsia"/>
        </w:rPr>
        <w:t>《数据质量日报/周报》</w:t>
      </w:r>
    </w:p>
    <w:p w14:paraId="15287F41">
      <w:pPr>
        <w:pStyle w:val="30"/>
        <w:numPr>
          <w:ilvl w:val="0"/>
          <w:numId w:val="2"/>
        </w:numPr>
        <w:bidi w:val="0"/>
        <w:ind w:left="425" w:leftChars="0" w:hanging="425" w:firstLineChars="0"/>
      </w:pPr>
      <w:r>
        <w:rPr>
          <w:rFonts w:hint="eastAsia"/>
        </w:rPr>
        <w:t>《清洗过程审计日志》</w:t>
      </w:r>
    </w:p>
    <w:p w14:paraId="47AAFBE9">
      <w:pPr>
        <w:pStyle w:val="29"/>
        <w:keepNext w:val="0"/>
        <w:keepLines w:val="0"/>
        <w:widowControl w:val="0"/>
        <w:rPr>
          <w:lang w:eastAsia="zh-CN"/>
        </w:rPr>
      </w:pPr>
      <w:bookmarkStart w:id="17" w:name="_Toc8464"/>
      <w:r>
        <w:rPr>
          <w:lang w:eastAsia="zh-CN"/>
        </w:rPr>
        <w:t>结论与后续工作建议</w:t>
      </w:r>
      <w:bookmarkEnd w:id="17"/>
    </w:p>
    <w:p w14:paraId="1316B45D">
      <w:pPr>
        <w:pStyle w:val="31"/>
        <w:rPr>
          <w:lang w:eastAsia="zh-CN"/>
        </w:rPr>
      </w:pPr>
      <w:bookmarkStart w:id="18" w:name="_Toc1374"/>
      <w:r>
        <w:rPr>
          <w:lang w:eastAsia="zh-CN"/>
        </w:rPr>
        <w:t>核心结论</w:t>
      </w:r>
      <w:bookmarkEnd w:id="18"/>
    </w:p>
    <w:p w14:paraId="0D112C4F">
      <w:pPr>
        <w:pStyle w:val="30"/>
        <w:widowControl w:val="0"/>
        <w:ind w:firstLine="480"/>
      </w:pPr>
      <w:r>
        <w:rPr>
          <w:rFonts w:hint="eastAsia"/>
        </w:rPr>
        <w:t>本项目涉及引航计划、船舶动态、引航员排班、设备运维、费用结算等多类核心业务数据，数据质量直接影响引航作业安全与调度效率。成功的数据清洗是保障引航信息系统稳定运行和引航决策准确性的先决条件。必须将上述业务与非功能性需求，转化为一份具备可操作性的《数据清洗策略实施方案》。</w:t>
      </w:r>
    </w:p>
    <w:p w14:paraId="54683916">
      <w:pPr>
        <w:pStyle w:val="31"/>
        <w:rPr>
          <w:lang w:eastAsia="zh-CN"/>
        </w:rPr>
      </w:pPr>
      <w:bookmarkStart w:id="19" w:name="_Toc612"/>
      <w:r>
        <w:rPr>
          <w:lang w:eastAsia="zh-CN"/>
        </w:rPr>
        <w:t>后续工作建议</w:t>
      </w:r>
      <w:bookmarkEnd w:id="19"/>
    </w:p>
    <w:p w14:paraId="5FC2302A">
      <w:pPr>
        <w:pStyle w:val="30"/>
        <w:bidi w:val="0"/>
        <w:rPr>
          <w:rFonts w:hint="eastAsia"/>
        </w:rPr>
      </w:pPr>
      <w:r>
        <w:rPr>
          <w:rFonts w:hint="eastAsia"/>
        </w:rPr>
        <w:t>启动方案编制：</w:t>
      </w:r>
    </w:p>
    <w:p w14:paraId="56E15D99">
      <w:pPr>
        <w:pStyle w:val="30"/>
        <w:bidi w:val="0"/>
        <w:rPr>
          <w:rFonts w:hint="eastAsia"/>
        </w:rPr>
      </w:pPr>
      <w:r>
        <w:rPr>
          <w:rFonts w:hint="eastAsia"/>
        </w:rPr>
        <w:t>建议项目组立即依据本报告，启动《数据清洗策略实施方案》的编制工作。</w:t>
      </w:r>
    </w:p>
    <w:p w14:paraId="6FD800AC">
      <w:pPr>
        <w:pStyle w:val="30"/>
        <w:bidi w:val="0"/>
        <w:rPr>
          <w:rFonts w:hint="eastAsia"/>
        </w:rPr>
      </w:pPr>
      <w:r>
        <w:rPr>
          <w:rFonts w:hint="eastAsia"/>
        </w:rPr>
        <w:t>方案核心要素：</w:t>
      </w:r>
    </w:p>
    <w:p w14:paraId="3B44CF1D">
      <w:pPr>
        <w:pStyle w:val="30"/>
        <w:bidi w:val="0"/>
        <w:rPr>
          <w:rFonts w:hint="eastAsia"/>
        </w:rPr>
      </w:pPr>
      <w:r>
        <w:rPr>
          <w:rFonts w:hint="eastAsia"/>
        </w:rPr>
        <w:t>该方案应至少包含：具体清洗场景与规则设计、技术架构与工具选型、详细实施计划、量化验收标准（KPI）、以及满足第4.2条定义的协同管理流程。</w:t>
      </w:r>
    </w:p>
    <w:p w14:paraId="73C5E0F7">
      <w:pPr>
        <w:pStyle w:val="30"/>
        <w:bidi w:val="0"/>
        <w:rPr>
          <w:rFonts w:hint="eastAsia"/>
        </w:rPr>
      </w:pPr>
      <w:r>
        <w:rPr>
          <w:rFonts w:hint="eastAsia"/>
        </w:rPr>
        <w:t>评审与确认：</w:t>
      </w:r>
    </w:p>
    <w:p w14:paraId="3CB305B5">
      <w:pPr>
        <w:pStyle w:val="30"/>
        <w:bidi w:val="0"/>
      </w:pPr>
      <w:r>
        <w:rPr>
          <w:rFonts w:hint="eastAsia"/>
        </w:rPr>
        <w:t>该方案需提交甲方项目评审会，由业务方（引航调度科、设备管理科、计费科等）与技术方共同评审确认后，作为项目执行的基准文件。</w:t>
      </w:r>
      <w:bookmarkStart w:id="20" w:name="_GoBack"/>
      <w:bookmarkEnd w:id="20"/>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CAEE5">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C8931EC"/>
    <w:multiLevelType w:val="singleLevel"/>
    <w:tmpl w:val="3C8931E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873E47"/>
    <w:rsid w:val="00AD7338"/>
    <w:rsid w:val="0AEE2A27"/>
    <w:rsid w:val="0B6947A3"/>
    <w:rsid w:val="0E4B63E2"/>
    <w:rsid w:val="102F7D69"/>
    <w:rsid w:val="10303AE2"/>
    <w:rsid w:val="146F3E66"/>
    <w:rsid w:val="15A861C9"/>
    <w:rsid w:val="166C21A0"/>
    <w:rsid w:val="1D25296F"/>
    <w:rsid w:val="1F3E7771"/>
    <w:rsid w:val="1FAD4807"/>
    <w:rsid w:val="214B42D7"/>
    <w:rsid w:val="21D32722"/>
    <w:rsid w:val="284D4DD9"/>
    <w:rsid w:val="2A846AAC"/>
    <w:rsid w:val="2D460049"/>
    <w:rsid w:val="2E795B67"/>
    <w:rsid w:val="2E8B665B"/>
    <w:rsid w:val="2F4F0640"/>
    <w:rsid w:val="2F7621A1"/>
    <w:rsid w:val="33C56C5E"/>
    <w:rsid w:val="33E052F4"/>
    <w:rsid w:val="36C26992"/>
    <w:rsid w:val="3A771C1F"/>
    <w:rsid w:val="3E497999"/>
    <w:rsid w:val="3F780536"/>
    <w:rsid w:val="42A746D9"/>
    <w:rsid w:val="44DC1567"/>
    <w:rsid w:val="47FE17F4"/>
    <w:rsid w:val="48914416"/>
    <w:rsid w:val="48FD7CFE"/>
    <w:rsid w:val="4BCF2EE2"/>
    <w:rsid w:val="4C3457E4"/>
    <w:rsid w:val="4C910E89"/>
    <w:rsid w:val="4CEC2563"/>
    <w:rsid w:val="4E1C0C26"/>
    <w:rsid w:val="4E7D7917"/>
    <w:rsid w:val="4EF5033F"/>
    <w:rsid w:val="503404A9"/>
    <w:rsid w:val="50730EC3"/>
    <w:rsid w:val="50E33C7D"/>
    <w:rsid w:val="52100AA2"/>
    <w:rsid w:val="53EE6BC1"/>
    <w:rsid w:val="5A134EEC"/>
    <w:rsid w:val="5EAE58CA"/>
    <w:rsid w:val="5EF2102E"/>
    <w:rsid w:val="5FC058B5"/>
    <w:rsid w:val="63536A40"/>
    <w:rsid w:val="65856C59"/>
    <w:rsid w:val="68FE744E"/>
    <w:rsid w:val="697D65C5"/>
    <w:rsid w:val="6B2D401B"/>
    <w:rsid w:val="7A137DC3"/>
    <w:rsid w:val="7BCD5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2573</Words>
  <Characters>2725</Characters>
  <Lines>175</Lines>
  <Paragraphs>191</Paragraphs>
  <TotalTime>3</TotalTime>
  <ScaleCrop>false</ScaleCrop>
  <LinksUpToDate>false</LinksUpToDate>
  <CharactersWithSpaces>2775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2026-05-09T01:14:03Z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