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1B9D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03F9B34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运维服务应急管理制度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0690E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D0D5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E8E3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TJTY-ITSS-1001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8B69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DC93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74A2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9360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C8CF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刘禹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D35B1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F893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8269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B20E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3EFA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5257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56820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23A6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24DC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AB8A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568B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C2E8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13EB6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2DCD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E18E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0DD56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5604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2B2EE90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CD35E2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72D17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25E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84D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A4B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3BC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362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34C3A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019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D6A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291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DB6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4FF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6D48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7E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2CB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15A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960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9E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3A75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16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ED78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F86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174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701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89ED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218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0FB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4DA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38F0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A9C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BC1639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6A984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881751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_Toc13453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_Toc13453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39793C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_Toc25804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_Toc25804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DB9296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_Toc6496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术语定义</w:t>
          </w:r>
          <w:r>
            <w:tab/>
          </w:r>
          <w:r>
            <w:fldChar w:fldCharType="begin"/>
          </w:r>
          <w:r>
            <w:instrText xml:space="preserve"> PAGEREF _Toc6496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00BD02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_Toc5535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应急管理原则</w:t>
          </w:r>
          <w:r>
            <w:tab/>
          </w:r>
          <w:r>
            <w:fldChar w:fldCharType="begin"/>
          </w:r>
          <w:r>
            <w:instrText xml:space="preserve"> PAGEREF _Toc5535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66D004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_Toc21792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应急管理流程</w:t>
          </w:r>
          <w:r>
            <w:tab/>
          </w:r>
          <w:r>
            <w:fldChar w:fldCharType="begin"/>
          </w:r>
          <w:r>
            <w:instrText xml:space="preserve"> PAGEREF _Toc21792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375C8D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_Toc13134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应急组织与职责</w:t>
          </w:r>
          <w:r>
            <w:tab/>
          </w:r>
          <w:r>
            <w:fldChar w:fldCharType="begin"/>
          </w:r>
          <w:r>
            <w:instrText xml:space="preserve"> PAGEREF _Toc13134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0BFE31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_Toc22114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风险评估</w:t>
          </w:r>
          <w:r>
            <w:tab/>
          </w:r>
          <w:r>
            <w:fldChar w:fldCharType="begin"/>
          </w:r>
          <w:r>
            <w:instrText xml:space="preserve"> PAGEREF _Toc22114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208B71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_Toc14656 </w:instrText>
          </w:r>
          <w:r>
            <w:fldChar w:fldCharType="separate"/>
          </w:r>
          <w:r>
            <w:rPr>
              <w:rFonts w:hint="default"/>
            </w:rPr>
            <w:t xml:space="preserve">5.2.1. </w:t>
          </w:r>
          <w:r>
            <w:t>评估频次</w:t>
          </w:r>
          <w:r>
            <w:tab/>
          </w:r>
          <w:r>
            <w:fldChar w:fldCharType="begin"/>
          </w:r>
          <w:r>
            <w:instrText xml:space="preserve"> PAGEREF _Toc14656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EDB5ADD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_Toc23943 </w:instrText>
          </w:r>
          <w:r>
            <w:fldChar w:fldCharType="separate"/>
          </w:r>
          <w:r>
            <w:rPr>
              <w:rFonts w:hint="default"/>
            </w:rPr>
            <w:t xml:space="preserve">5.2.2. </w:t>
          </w:r>
          <w:r>
            <w:t>评估内容</w:t>
          </w:r>
          <w:r>
            <w:tab/>
          </w:r>
          <w:r>
            <w:fldChar w:fldCharType="begin"/>
          </w:r>
          <w:r>
            <w:instrText xml:space="preserve"> PAGEREF _Toc23943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52FE2D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_Toc13952 </w:instrText>
          </w:r>
          <w:r>
            <w:fldChar w:fldCharType="separate"/>
          </w:r>
          <w:r>
            <w:rPr>
              <w:rFonts w:hint="default"/>
            </w:rPr>
            <w:t xml:space="preserve">5.2.3. </w:t>
          </w:r>
          <w:r>
            <w:t>评估方法</w:t>
          </w:r>
          <w:r>
            <w:tab/>
          </w:r>
          <w:r>
            <w:fldChar w:fldCharType="begin"/>
          </w:r>
          <w:r>
            <w:instrText xml:space="preserve"> PAGEREF _Toc13952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A325F9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_Toc5337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应急预案管理</w:t>
          </w:r>
          <w:r>
            <w:tab/>
          </w:r>
          <w:r>
            <w:fldChar w:fldCharType="begin"/>
          </w:r>
          <w:r>
            <w:instrText xml:space="preserve"> PAGEREF _Toc5337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A7CF6B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_Toc19955 </w:instrText>
          </w:r>
          <w:r>
            <w:fldChar w:fldCharType="separate"/>
          </w:r>
          <w:r>
            <w:rPr>
              <w:rFonts w:hint="default"/>
            </w:rPr>
            <w:t xml:space="preserve">5.3.1. </w:t>
          </w:r>
          <w:r>
            <w:t>预案编制要求</w:t>
          </w:r>
          <w:r>
            <w:tab/>
          </w:r>
          <w:r>
            <w:fldChar w:fldCharType="begin"/>
          </w:r>
          <w:r>
            <w:instrText xml:space="preserve"> PAGEREF _Toc19955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312EE2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_Toc13922 </w:instrText>
          </w:r>
          <w:r>
            <w:fldChar w:fldCharType="separate"/>
          </w:r>
          <w:r>
            <w:rPr>
              <w:rFonts w:hint="default"/>
            </w:rPr>
            <w:t xml:space="preserve">5.3.2. </w:t>
          </w:r>
          <w:r>
            <w:t>预案审批</w:t>
          </w:r>
          <w:r>
            <w:tab/>
          </w:r>
          <w:r>
            <w:fldChar w:fldCharType="begin"/>
          </w:r>
          <w:r>
            <w:instrText xml:space="preserve"> PAGEREF _Toc13922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ECD0A0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_Toc20815 </w:instrText>
          </w:r>
          <w:r>
            <w:fldChar w:fldCharType="separate"/>
          </w:r>
          <w:r>
            <w:rPr>
              <w:rFonts w:hint="default"/>
            </w:rPr>
            <w:t xml:space="preserve">5.3.3. </w:t>
          </w:r>
          <w:r>
            <w:t>预案发布与宣贯</w:t>
          </w:r>
          <w:r>
            <w:tab/>
          </w:r>
          <w:r>
            <w:fldChar w:fldCharType="begin"/>
          </w:r>
          <w:r>
            <w:instrText xml:space="preserve"> PAGEREF _Toc20815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4CCCDA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_Toc5517 </w:instrText>
          </w:r>
          <w:r>
            <w:fldChar w:fldCharType="separate"/>
          </w:r>
          <w:r>
            <w:rPr>
              <w:rFonts w:hint="default"/>
            </w:rPr>
            <w:t xml:space="preserve">5.3.4. </w:t>
          </w:r>
          <w:r>
            <w:t>预案更新</w:t>
          </w:r>
          <w:r>
            <w:tab/>
          </w:r>
          <w:r>
            <w:fldChar w:fldCharType="begin"/>
          </w:r>
          <w:r>
            <w:instrText xml:space="preserve"> PAGEREF _Toc5517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F38761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_Toc5296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应急响应流程</w:t>
          </w:r>
          <w:r>
            <w:tab/>
          </w:r>
          <w:r>
            <w:fldChar w:fldCharType="begin"/>
          </w:r>
          <w:r>
            <w:instrText xml:space="preserve"> PAGEREF _Toc5296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4001CB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_Toc21214 </w:instrText>
          </w:r>
          <w:r>
            <w:fldChar w:fldCharType="separate"/>
          </w:r>
          <w:r>
            <w:rPr>
              <w:rFonts w:hint="default"/>
            </w:rPr>
            <w:t xml:space="preserve">5.4.1. </w:t>
          </w:r>
          <w:r>
            <w:t>监测与预警</w:t>
          </w:r>
          <w:r>
            <w:tab/>
          </w:r>
          <w:r>
            <w:fldChar w:fldCharType="begin"/>
          </w:r>
          <w:r>
            <w:instrText xml:space="preserve"> PAGEREF _Toc21214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515820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_Toc18436 </w:instrText>
          </w:r>
          <w:r>
            <w:fldChar w:fldCharType="separate"/>
          </w:r>
          <w:r>
            <w:rPr>
              <w:rFonts w:hint="default"/>
            </w:rPr>
            <w:t xml:space="preserve">5.4.2. </w:t>
          </w:r>
          <w:r>
            <w:t>先期处置</w:t>
          </w:r>
          <w:r>
            <w:tab/>
          </w:r>
          <w:r>
            <w:fldChar w:fldCharType="begin"/>
          </w:r>
          <w:r>
            <w:instrText xml:space="preserve"> PAGEREF _Toc18436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F2D765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_Toc29238 </w:instrText>
          </w:r>
          <w:r>
            <w:fldChar w:fldCharType="separate"/>
          </w:r>
          <w:r>
            <w:rPr>
              <w:rFonts w:hint="default"/>
            </w:rPr>
            <w:t xml:space="preserve">5.4.3. </w:t>
          </w:r>
          <w:r>
            <w:t>应急启动</w:t>
          </w:r>
          <w:r>
            <w:tab/>
          </w:r>
          <w:r>
            <w:fldChar w:fldCharType="begin"/>
          </w:r>
          <w:r>
            <w:instrText xml:space="preserve"> PAGEREF _Toc29238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236334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_Toc19618 </w:instrText>
          </w:r>
          <w:r>
            <w:fldChar w:fldCharType="separate"/>
          </w:r>
          <w:r>
            <w:rPr>
              <w:rFonts w:hint="default"/>
            </w:rPr>
            <w:t xml:space="preserve">5.4.4. </w:t>
          </w:r>
          <w:r>
            <w:t>应急处置</w:t>
          </w:r>
          <w:r>
            <w:tab/>
          </w:r>
          <w:r>
            <w:fldChar w:fldCharType="begin"/>
          </w:r>
          <w:r>
            <w:instrText xml:space="preserve"> PAGEREF _Toc19618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987A22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_Toc4232 </w:instrText>
          </w:r>
          <w:r>
            <w:fldChar w:fldCharType="separate"/>
          </w:r>
          <w:r>
            <w:rPr>
              <w:rFonts w:hint="default"/>
            </w:rPr>
            <w:t xml:space="preserve">5.4.5. </w:t>
          </w:r>
          <w:r>
            <w:t>应急终止</w:t>
          </w:r>
          <w:r>
            <w:tab/>
          </w:r>
          <w:r>
            <w:fldChar w:fldCharType="begin"/>
          </w:r>
          <w:r>
            <w:instrText xml:space="preserve"> PAGEREF _Toc4232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F70E59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_Toc28870 </w:instrText>
          </w:r>
          <w:r>
            <w:fldChar w:fldCharType="separate"/>
          </w:r>
          <w:r>
            <w:rPr>
              <w:rFonts w:hint="default"/>
            </w:rPr>
            <w:t xml:space="preserve">5.5. </w:t>
          </w:r>
          <w:r>
            <w:t>应急演练</w:t>
          </w:r>
          <w:r>
            <w:tab/>
          </w:r>
          <w:r>
            <w:fldChar w:fldCharType="begin"/>
          </w:r>
          <w:r>
            <w:instrText xml:space="preserve"> PAGEREF _Toc28870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0DAD61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_Toc7147 </w:instrText>
          </w:r>
          <w:r>
            <w:fldChar w:fldCharType="separate"/>
          </w:r>
          <w:r>
            <w:rPr>
              <w:rFonts w:hint="default"/>
            </w:rPr>
            <w:t xml:space="preserve">5.5.1. </w:t>
          </w:r>
          <w:r>
            <w:t>演练频次</w:t>
          </w:r>
          <w:r>
            <w:tab/>
          </w:r>
          <w:r>
            <w:fldChar w:fldCharType="begin"/>
          </w:r>
          <w:r>
            <w:instrText xml:space="preserve"> PAGEREF _Toc7147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8C16F38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_Toc1997 </w:instrText>
          </w:r>
          <w:r>
            <w:fldChar w:fldCharType="separate"/>
          </w:r>
          <w:r>
            <w:rPr>
              <w:rFonts w:hint="default"/>
            </w:rPr>
            <w:t xml:space="preserve">5.5.2. </w:t>
          </w:r>
          <w:r>
            <w:t>演练形式</w:t>
          </w:r>
          <w:r>
            <w:tab/>
          </w:r>
          <w:r>
            <w:fldChar w:fldCharType="begin"/>
          </w:r>
          <w:r>
            <w:instrText xml:space="preserve"> PAGEREF _Toc1997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C3DD106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_Toc18787 </w:instrText>
          </w:r>
          <w:r>
            <w:fldChar w:fldCharType="separate"/>
          </w:r>
          <w:r>
            <w:rPr>
              <w:rFonts w:hint="default"/>
            </w:rPr>
            <w:t xml:space="preserve">5.5.3. </w:t>
          </w:r>
          <w:r>
            <w:t>5.5.3 演练要求</w:t>
          </w:r>
          <w:r>
            <w:tab/>
          </w:r>
          <w:r>
            <w:fldChar w:fldCharType="begin"/>
          </w:r>
          <w:r>
            <w:instrText xml:space="preserve"> PAGEREF _Toc18787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9A7E86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_Toc19808 </w:instrText>
          </w:r>
          <w:r>
            <w:fldChar w:fldCharType="separate"/>
          </w:r>
          <w:r>
            <w:rPr>
              <w:rFonts w:hint="default"/>
            </w:rPr>
            <w:t xml:space="preserve">5.6. </w:t>
          </w:r>
          <w:r>
            <w:t>总结改进</w:t>
          </w:r>
          <w:r>
            <w:tab/>
          </w:r>
          <w:r>
            <w:fldChar w:fldCharType="begin"/>
          </w:r>
          <w:r>
            <w:instrText xml:space="preserve"> PAGEREF _Toc19808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D215DE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_Toc7645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应急资源保障</w:t>
          </w:r>
          <w:r>
            <w:tab/>
          </w:r>
          <w:r>
            <w:fldChar w:fldCharType="begin"/>
          </w:r>
          <w:r>
            <w:instrText xml:space="preserve"> PAGEREF _Toc7645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ED81380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_Toc13044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关键绩效指标（KPI）</w:t>
          </w:r>
          <w:r>
            <w:tab/>
          </w:r>
          <w:r>
            <w:fldChar w:fldCharType="begin"/>
          </w:r>
          <w:r>
            <w:instrText xml:space="preserve"> PAGEREF _Toc13044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C97F88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_Toc19511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记录与归档</w:t>
          </w:r>
          <w:r>
            <w:tab/>
          </w:r>
          <w:r>
            <w:fldChar w:fldCharType="begin"/>
          </w:r>
          <w:r>
            <w:instrText xml:space="preserve"> PAGEREF _Toc19511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32D7BD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_Toc29253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相关文件</w:t>
          </w:r>
          <w:r>
            <w:tab/>
          </w:r>
          <w:r>
            <w:fldChar w:fldCharType="begin"/>
          </w:r>
          <w:r>
            <w:instrText xml:space="preserve"> PAGEREF _Toc29253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01DB22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046EAF3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352B3DF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_Toc22412 </w:instrText>
      </w:r>
      <w:r>
        <w:fldChar w:fldCharType="separate"/>
      </w:r>
      <w:r>
        <w:rPr>
          <w:rFonts w:hint="eastAsia"/>
          <w:lang w:val="en-US" w:eastAsia="zh-CN"/>
        </w:rPr>
        <w:t>表 2-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事件类型表</w:t>
      </w:r>
      <w:r>
        <w:tab/>
      </w:r>
      <w:r>
        <w:fldChar w:fldCharType="begin"/>
      </w:r>
      <w:r>
        <w:instrText xml:space="preserve"> PAGEREF _Toc22412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FA8175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_Toc29516 </w:instrText>
      </w:r>
      <w:r>
        <w:fldChar w:fldCharType="separate"/>
      </w:r>
      <w:r>
        <w:rPr>
          <w:rFonts w:hint="eastAsia"/>
          <w:lang w:val="en-US" w:eastAsia="zh-CN"/>
        </w:rPr>
        <w:t>表 3-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应急响应术语表</w:t>
      </w:r>
      <w:r>
        <w:tab/>
      </w:r>
      <w:r>
        <w:fldChar w:fldCharType="begin"/>
      </w:r>
      <w:r>
        <w:instrText xml:space="preserve"> PAGEREF _Toc29516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08E0E9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_Toc22172 </w:instrText>
      </w:r>
      <w:r>
        <w:fldChar w:fldCharType="separate"/>
      </w:r>
      <w:r>
        <w:rPr>
          <w:rFonts w:hint="eastAsia"/>
          <w:lang w:val="en-US" w:eastAsia="zh-CN"/>
        </w:rPr>
        <w:t>表 4-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应急管理原则表</w:t>
      </w:r>
      <w:r>
        <w:tab/>
      </w:r>
      <w:r>
        <w:fldChar w:fldCharType="begin"/>
      </w:r>
      <w:r>
        <w:instrText xml:space="preserve"> PAGEREF _Toc22172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8AC2CD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_Toc19677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应急组织架构表</w:t>
      </w:r>
      <w:r>
        <w:tab/>
      </w:r>
      <w:r>
        <w:fldChar w:fldCharType="begin"/>
      </w:r>
      <w:r>
        <w:instrText xml:space="preserve"> PAGEREF _Toc19677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1A100F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_Toc2039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关键角色职责表</w:t>
      </w:r>
      <w:r>
        <w:tab/>
      </w:r>
      <w:r>
        <w:fldChar w:fldCharType="begin"/>
      </w:r>
      <w:r>
        <w:instrText xml:space="preserve"> PAGEREF _Toc2039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5EA360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_Toc20353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风险评估频次表</w:t>
      </w:r>
      <w:r>
        <w:tab/>
      </w:r>
      <w:r>
        <w:fldChar w:fldCharType="begin"/>
      </w:r>
      <w:r>
        <w:instrText xml:space="preserve"> PAGEREF _Toc20353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B9936A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_Toc624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风险评估内容表</w:t>
      </w:r>
      <w:r>
        <w:tab/>
      </w:r>
      <w:r>
        <w:fldChar w:fldCharType="begin"/>
      </w:r>
      <w:r>
        <w:instrText xml:space="preserve"> PAGEREF _Toc624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D20936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_Toc18217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5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应急预案编制要求表</w:t>
      </w:r>
      <w:r>
        <w:tab/>
      </w:r>
      <w:r>
        <w:fldChar w:fldCharType="begin"/>
      </w:r>
      <w:r>
        <w:instrText xml:space="preserve"> PAGEREF _Toc18217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BFF929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_Toc25888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6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预案发布宣贯要求表</w:t>
      </w:r>
      <w:r>
        <w:tab/>
      </w:r>
      <w:r>
        <w:fldChar w:fldCharType="begin"/>
      </w:r>
      <w:r>
        <w:instrText xml:space="preserve"> PAGEREF _Toc25888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97E15A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_Toc23660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7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预案更新要求表</w:t>
      </w:r>
      <w:r>
        <w:tab/>
      </w:r>
      <w:r>
        <w:fldChar w:fldCharType="begin"/>
      </w:r>
      <w:r>
        <w:instrText xml:space="preserve"> PAGEREF _Toc23660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D37B27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_Toc12226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8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监测与预警要求表</w:t>
      </w:r>
      <w:r>
        <w:tab/>
      </w:r>
      <w:r>
        <w:fldChar w:fldCharType="begin"/>
      </w:r>
      <w:r>
        <w:instrText xml:space="preserve"> PAGEREF _Toc12226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FE9AC8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_Toc12205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9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先期处置要求表</w:t>
      </w:r>
      <w:r>
        <w:tab/>
      </w:r>
      <w:r>
        <w:fldChar w:fldCharType="begin"/>
      </w:r>
      <w:r>
        <w:instrText xml:space="preserve"> PAGEREF _Toc12205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9E2438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_Toc13332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10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应急启动要求表</w:t>
      </w:r>
      <w:r>
        <w:tab/>
      </w:r>
      <w:r>
        <w:fldChar w:fldCharType="begin"/>
      </w:r>
      <w:r>
        <w:instrText xml:space="preserve"> PAGEREF _Toc13332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36CE91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_Toc2676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应急处置要求表</w:t>
      </w:r>
      <w:r>
        <w:tab/>
      </w:r>
      <w:r>
        <w:fldChar w:fldCharType="begin"/>
      </w:r>
      <w:r>
        <w:instrText xml:space="preserve"> PAGEREF _Toc2676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D5AAE4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_Toc15705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12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应急终止要求表</w:t>
      </w:r>
      <w:r>
        <w:tab/>
      </w:r>
      <w:r>
        <w:fldChar w:fldCharType="begin"/>
      </w:r>
      <w:r>
        <w:instrText xml:space="preserve"> PAGEREF _Toc15705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6EF237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_Toc9543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13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应急演练频次表</w:t>
      </w:r>
      <w:r>
        <w:tab/>
      </w:r>
      <w:r>
        <w:fldChar w:fldCharType="begin"/>
      </w:r>
      <w:r>
        <w:instrText xml:space="preserve"> PAGEREF _Toc9543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E39BFE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_Toc18000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14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应急演练形式表</w:t>
      </w:r>
      <w:r>
        <w:tab/>
      </w:r>
      <w:r>
        <w:fldChar w:fldCharType="begin"/>
      </w:r>
      <w:r>
        <w:instrText xml:space="preserve"> PAGEREF _Toc18000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F53932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_Toc1787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15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应急演练要求表</w:t>
      </w:r>
      <w:r>
        <w:tab/>
      </w:r>
      <w:r>
        <w:fldChar w:fldCharType="begin"/>
      </w:r>
      <w:r>
        <w:instrText xml:space="preserve"> PAGEREF _Toc1787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CD5FC3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_Toc29596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16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总结改进要求表</w:t>
      </w:r>
      <w:r>
        <w:tab/>
      </w:r>
      <w:r>
        <w:fldChar w:fldCharType="begin"/>
      </w:r>
      <w:r>
        <w:instrText xml:space="preserve"> PAGEREF _Toc29596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89E73E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_Toc6490 </w:instrText>
      </w:r>
      <w:r>
        <w:fldChar w:fldCharType="separate"/>
      </w:r>
      <w:r>
        <w:rPr>
          <w:rFonts w:hint="eastAsia"/>
          <w:lang w:val="en-US" w:eastAsia="zh-CN"/>
        </w:rPr>
        <w:t>表 6-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应急资源保障表</w:t>
      </w:r>
      <w:r>
        <w:tab/>
      </w:r>
      <w:r>
        <w:fldChar w:fldCharType="begin"/>
      </w:r>
      <w:r>
        <w:instrText xml:space="preserve"> PAGEREF _Toc6490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9A6BCA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_Toc7794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KPI指标表</w:t>
      </w:r>
      <w:r>
        <w:tab/>
      </w:r>
      <w:r>
        <w:fldChar w:fldCharType="begin"/>
      </w:r>
      <w:r>
        <w:instrText xml:space="preserve"> PAGEREF _Toc7794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B68F4E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_Toc10613 </w:instrText>
      </w:r>
      <w:r>
        <w:fldChar w:fldCharType="separate"/>
      </w:r>
      <w:r>
        <w:rPr>
          <w:rFonts w:hint="eastAsia"/>
          <w:lang w:val="en-US" w:eastAsia="zh-CN"/>
        </w:rPr>
        <w:t>表 8-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记录归档要求表</w:t>
      </w:r>
      <w:r>
        <w:tab/>
      </w:r>
      <w:r>
        <w:fldChar w:fldCharType="begin"/>
      </w:r>
      <w:r>
        <w:instrText xml:space="preserve"> PAGEREF _Toc10613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3FB27A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638B73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1E6EE94">
      <w:pPr>
        <w:pStyle w:val="31"/>
        <w:bidi w:val="0"/>
      </w:pPr>
      <w:bookmarkStart w:id="1" w:name="_Toc13453"/>
      <w:bookmarkStart w:id="2" w:name="heading_2"/>
      <w:r>
        <w:t>目的</w:t>
      </w:r>
      <w:bookmarkEnd w:id="1"/>
      <w:bookmarkEnd w:id="2"/>
    </w:p>
    <w:p w14:paraId="27953263">
      <w:pPr>
        <w:pStyle w:val="32"/>
        <w:bidi w:val="0"/>
      </w:pPr>
      <w:r>
        <w:t>为规范公司运维服务过程中突发事件的应急响应管理，建立统一、高效、有序的应急处理机制，确保在突发事件发生时能够快速响应、有效处置、最大限度降低对客户业务的影响，保障服务连续性，满足ITSS信息技术服务运行维护标准要求，特制定本制度。</w:t>
      </w:r>
    </w:p>
    <w:p w14:paraId="1623D387">
      <w:pPr>
        <w:pStyle w:val="31"/>
        <w:bidi w:val="0"/>
      </w:pPr>
      <w:bookmarkStart w:id="3" w:name="heading_3"/>
      <w:bookmarkStart w:id="4" w:name="_Toc25804"/>
      <w:r>
        <w:t>适用范围</w:t>
      </w:r>
      <w:bookmarkEnd w:id="3"/>
      <w:bookmarkEnd w:id="4"/>
    </w:p>
    <w:p w14:paraId="5EB8013E">
      <w:pPr>
        <w:pStyle w:val="32"/>
        <w:bidi w:val="0"/>
        <w:rPr>
          <w:rFonts w:hint="eastAsia"/>
          <w:lang w:val="en-US" w:eastAsia="zh-CN"/>
        </w:rPr>
      </w:pPr>
      <w:r>
        <w:t>本制度适用于公司所有运维服务项目可能发生的各类突发事件，包括但不限于</w:t>
      </w:r>
      <w:r>
        <w:rPr>
          <w:rFonts w:hint="eastAsia"/>
          <w:lang w:val="en-US" w:eastAsia="zh-CN"/>
        </w:rPr>
        <w:t>以下内容</w:t>
      </w:r>
    </w:p>
    <w:p w14:paraId="2FBA8C5E">
      <w:pPr>
        <w:pStyle w:val="3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22412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事件类型表</w:t>
      </w:r>
      <w:bookmarkEnd w:id="5"/>
    </w:p>
    <w:tbl>
      <w:tblPr>
        <w:tblStyle w:val="22"/>
        <w:tblW w:w="600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9"/>
        <w:gridCol w:w="4461"/>
      </w:tblGrid>
      <w:tr w14:paraId="11DB5CD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3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B9448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事件类型</w:t>
            </w:r>
          </w:p>
        </w:tc>
        <w:tc>
          <w:tcPr>
            <w:tcW w:w="446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60A12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27F3198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6CF21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系统故障</w:t>
            </w:r>
          </w:p>
        </w:tc>
        <w:tc>
          <w:tcPr>
            <w:tcW w:w="44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79F0B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系统崩溃、应用服务中断</w:t>
            </w:r>
          </w:p>
        </w:tc>
      </w:tr>
      <w:tr w14:paraId="45D9888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22483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数据问题</w:t>
            </w:r>
          </w:p>
        </w:tc>
        <w:tc>
          <w:tcPr>
            <w:tcW w:w="44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9CD64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数据丢失或损坏</w:t>
            </w:r>
          </w:p>
        </w:tc>
      </w:tr>
      <w:tr w14:paraId="05F4699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1DBC4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安全事件</w:t>
            </w:r>
          </w:p>
        </w:tc>
        <w:tc>
          <w:tcPr>
            <w:tcW w:w="44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D6E6D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网络攻击、病毒爆发</w:t>
            </w:r>
          </w:p>
        </w:tc>
      </w:tr>
      <w:tr w14:paraId="02624B9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561F0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硬件故障</w:t>
            </w:r>
          </w:p>
        </w:tc>
        <w:tc>
          <w:tcPr>
            <w:tcW w:w="44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A7E32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服务器、存储、网络设备故障</w:t>
            </w:r>
          </w:p>
        </w:tc>
      </w:tr>
      <w:tr w14:paraId="22788AB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BD121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环境故障</w:t>
            </w:r>
          </w:p>
        </w:tc>
        <w:tc>
          <w:tcPr>
            <w:tcW w:w="446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FB558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机房电力、空调故障</w:t>
            </w:r>
          </w:p>
        </w:tc>
      </w:tr>
      <w:tr w14:paraId="5B5771F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01172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其他事件</w:t>
            </w:r>
          </w:p>
        </w:tc>
        <w:tc>
          <w:tcPr>
            <w:tcW w:w="44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A175D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其他影响业务连续性的突发事件</w:t>
            </w:r>
          </w:p>
        </w:tc>
      </w:tr>
    </w:tbl>
    <w:p w14:paraId="433C10BD">
      <w:pPr>
        <w:pStyle w:val="31"/>
        <w:bidi w:val="0"/>
      </w:pPr>
      <w:bookmarkStart w:id="6" w:name="heading_4"/>
      <w:bookmarkStart w:id="7" w:name="_Toc6496"/>
      <w:r>
        <w:t>术语定义</w:t>
      </w:r>
      <w:bookmarkEnd w:id="6"/>
      <w:bookmarkEnd w:id="7"/>
    </w:p>
    <w:p w14:paraId="1CC99569">
      <w:pPr>
        <w:pStyle w:val="3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" w:name="_Toc29516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应急响应术语表</w:t>
      </w:r>
      <w:bookmarkEnd w:id="8"/>
    </w:p>
    <w:tbl>
      <w:tblPr>
        <w:tblStyle w:val="22"/>
        <w:tblW w:w="6666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5256"/>
      </w:tblGrid>
      <w:tr w14:paraId="73BDCAF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1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75897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术语</w:t>
            </w:r>
          </w:p>
        </w:tc>
        <w:tc>
          <w:tcPr>
            <w:tcW w:w="525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57023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定义</w:t>
            </w:r>
          </w:p>
        </w:tc>
      </w:tr>
      <w:tr w14:paraId="287853B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0DB1C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突发事件</w:t>
            </w:r>
          </w:p>
        </w:tc>
        <w:tc>
          <w:tcPr>
            <w:tcW w:w="52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05206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突然发生、可能或已经导致服务中断或质量下降，需要立即采取应对措施的事件</w:t>
            </w:r>
          </w:p>
        </w:tc>
      </w:tr>
      <w:tr w14:paraId="7396094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5ECBF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应急响应</w:t>
            </w:r>
          </w:p>
        </w:tc>
        <w:tc>
          <w:tcPr>
            <w:tcW w:w="52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04820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为应对突发事件而采取的一系列行动和措施，包括监测、预警、处置、恢复等</w:t>
            </w:r>
          </w:p>
        </w:tc>
      </w:tr>
      <w:tr w14:paraId="44FA4A0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7D97F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应急预案</w:t>
            </w:r>
          </w:p>
        </w:tc>
        <w:tc>
          <w:tcPr>
            <w:tcW w:w="52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A56EE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针对可能发生的突发事件，预先制定的应急处置方案，包括组织架构、处置流程、资源保障等</w:t>
            </w:r>
          </w:p>
        </w:tc>
      </w:tr>
      <w:tr w14:paraId="217A083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9AB4C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应急演练</w:t>
            </w:r>
          </w:p>
        </w:tc>
        <w:tc>
          <w:tcPr>
            <w:tcW w:w="52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DABF2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按照应急预案组织的模拟演习，以检验预案可行性、锻炼队伍应急能力</w:t>
            </w:r>
          </w:p>
        </w:tc>
      </w:tr>
      <w:tr w14:paraId="7335B1F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2D311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应急组织</w:t>
            </w:r>
          </w:p>
        </w:tc>
        <w:tc>
          <w:tcPr>
            <w:tcW w:w="52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98199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负责应急响应工作的领导机构和工作小组，包括应急领导小组、应急执行小组、应急支持小组</w:t>
            </w:r>
          </w:p>
        </w:tc>
      </w:tr>
    </w:tbl>
    <w:p w14:paraId="709A7D97">
      <w:pPr>
        <w:pStyle w:val="31"/>
        <w:bidi w:val="0"/>
      </w:pPr>
      <w:bookmarkStart w:id="9" w:name="heading_5"/>
      <w:bookmarkStart w:id="10" w:name="_Toc5535"/>
      <w:r>
        <w:t>应急管理原则</w:t>
      </w:r>
      <w:bookmarkEnd w:id="9"/>
      <w:bookmarkEnd w:id="10"/>
    </w:p>
    <w:p w14:paraId="7961F727">
      <w:pPr>
        <w:pStyle w:val="3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1" w:name="_Toc22172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应急管理原则表</w:t>
      </w:r>
      <w:bookmarkEnd w:id="11"/>
    </w:p>
    <w:tbl>
      <w:tblPr>
        <w:tblStyle w:val="22"/>
        <w:tblW w:w="6606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9"/>
        <w:gridCol w:w="5207"/>
      </w:tblGrid>
      <w:tr w14:paraId="289393D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9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53C70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原则</w:t>
            </w:r>
          </w:p>
        </w:tc>
        <w:tc>
          <w:tcPr>
            <w:tcW w:w="520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6576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3C7A7BF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9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C7280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预防为主，常备不懈</w:t>
            </w:r>
          </w:p>
        </w:tc>
        <w:tc>
          <w:tcPr>
            <w:tcW w:w="52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15B35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加强日常风险排查和隐患治理，做好应急准备，防患于未然</w:t>
            </w:r>
          </w:p>
        </w:tc>
      </w:tr>
      <w:tr w14:paraId="5A97F4E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9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2478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统一指挥，协同作战</w:t>
            </w:r>
          </w:p>
        </w:tc>
        <w:tc>
          <w:tcPr>
            <w:tcW w:w="52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3A45C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建立统一的应急指挥体系，各部门协同配合，确保应急处置高效有序</w:t>
            </w:r>
          </w:p>
        </w:tc>
      </w:tr>
      <w:tr w14:paraId="2E3D470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9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8EC0F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快速响应，有效处置</w:t>
            </w:r>
          </w:p>
        </w:tc>
        <w:tc>
          <w:tcPr>
            <w:tcW w:w="52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05E95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突发事件发生后，立即启动应急响应，采取有效措施控制事态发展，尽快恢复服务</w:t>
            </w:r>
          </w:p>
        </w:tc>
      </w:tr>
      <w:tr w14:paraId="2555DD9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9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61CB3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信息畅通，及时报告</w:t>
            </w:r>
          </w:p>
        </w:tc>
        <w:tc>
          <w:tcPr>
            <w:tcW w:w="520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CF0E1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建立畅通的信息报告渠道，确保应急信息准确、及时传递</w:t>
            </w:r>
          </w:p>
        </w:tc>
      </w:tr>
      <w:tr w14:paraId="68AADEC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9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E1041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总结改进，持续优化</w:t>
            </w:r>
          </w:p>
        </w:tc>
        <w:tc>
          <w:tcPr>
            <w:tcW w:w="52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78B19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每次应急事件后及时复盘，总结经验教训，持续完善应急管理体系</w:t>
            </w:r>
          </w:p>
        </w:tc>
      </w:tr>
    </w:tbl>
    <w:p w14:paraId="3000DEE4">
      <w:pPr>
        <w:pStyle w:val="31"/>
        <w:bidi w:val="0"/>
      </w:pPr>
      <w:bookmarkStart w:id="12" w:name="_Toc21792"/>
      <w:bookmarkStart w:id="13" w:name="heading_6"/>
      <w:r>
        <w:t>应急管理流程</w:t>
      </w:r>
      <w:bookmarkEnd w:id="12"/>
      <w:bookmarkEnd w:id="13"/>
    </w:p>
    <w:p w14:paraId="717850CB">
      <w:pPr>
        <w:pStyle w:val="33"/>
        <w:bidi w:val="0"/>
      </w:pPr>
      <w:bookmarkStart w:id="14" w:name="_Toc13134"/>
      <w:bookmarkStart w:id="15" w:name="heading_7"/>
      <w:r>
        <w:t>应急组织与职责</w:t>
      </w:r>
      <w:bookmarkEnd w:id="14"/>
      <w:bookmarkEnd w:id="15"/>
    </w:p>
    <w:p w14:paraId="6354539B">
      <w:pPr>
        <w:pStyle w:val="32"/>
        <w:bidi w:val="0"/>
      </w:pPr>
      <w:r>
        <w:t>公司设立三级应急组织体系：</w:t>
      </w:r>
    </w:p>
    <w:p w14:paraId="4DF825D0">
      <w:pPr>
        <w:pStyle w:val="3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6" w:name="_Toc19677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应急组织架构表</w:t>
      </w:r>
      <w:bookmarkEnd w:id="16"/>
    </w:p>
    <w:tbl>
      <w:tblPr>
        <w:tblStyle w:val="22"/>
        <w:tblW w:w="726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0"/>
        <w:gridCol w:w="2660"/>
        <w:gridCol w:w="3020"/>
      </w:tblGrid>
      <w:tr w14:paraId="4967BDB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8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4EB7F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组织层级</w:t>
            </w:r>
          </w:p>
        </w:tc>
        <w:tc>
          <w:tcPr>
            <w:tcW w:w="26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0A20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组成人员</w:t>
            </w:r>
          </w:p>
        </w:tc>
        <w:tc>
          <w:tcPr>
            <w:tcW w:w="302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F002B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主要职责</w:t>
            </w:r>
          </w:p>
        </w:tc>
      </w:tr>
      <w:tr w14:paraId="6C89EB6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2A105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应急领导小组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2D94C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副总经理、运维部经理、技术中心经理、质量部经理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2EAA2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负责重大突发事件的决策指挥；协调跨部门资源；审批应急预案；监督应急演练</w:t>
            </w:r>
          </w:p>
        </w:tc>
      </w:tr>
      <w:tr w14:paraId="46E9724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D3DC6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应急执行小组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3FC90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运维项目经理、硬件运维工程师、软件运维工程师、技术支持工程师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FB272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负责具体应急处置工作；执行应急预案；记录处置过程；参与应急演练</w:t>
            </w:r>
          </w:p>
        </w:tc>
      </w:tr>
      <w:tr w14:paraId="33AB09E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A264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应急支持小组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0EC18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综合管理部经理、备件库专员、采购专员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D5B5C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负责后勤保障、物资调配、外部联络、客户沟通等支持工作</w:t>
            </w:r>
          </w:p>
        </w:tc>
      </w:tr>
    </w:tbl>
    <w:p w14:paraId="5CA15B49">
      <w:pPr>
        <w:pStyle w:val="32"/>
        <w:keepNext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7" w:name="_Toc2039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关键角色职责表</w:t>
      </w:r>
      <w:bookmarkEnd w:id="17"/>
    </w:p>
    <w:tbl>
      <w:tblPr>
        <w:tblStyle w:val="22"/>
        <w:tblW w:w="73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0"/>
        <w:gridCol w:w="3020"/>
        <w:gridCol w:w="3020"/>
      </w:tblGrid>
      <w:tr w14:paraId="11E27EE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4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732CD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角色</w:t>
            </w:r>
          </w:p>
        </w:tc>
        <w:tc>
          <w:tcPr>
            <w:tcW w:w="30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39907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岗位</w:t>
            </w:r>
          </w:p>
        </w:tc>
        <w:tc>
          <w:tcPr>
            <w:tcW w:w="302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FFF7E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职责</w:t>
            </w:r>
          </w:p>
        </w:tc>
      </w:tr>
      <w:tr w14:paraId="06B56C9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10FEA5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应急总指挥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AE1581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副总经理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AD869A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全面负责应急指挥工作，下达应急指令</w:t>
            </w:r>
          </w:p>
        </w:tc>
      </w:tr>
      <w:tr w14:paraId="4817B04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7CBC89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现场处置负责人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4413B5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运维项目经理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9CFC39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负责现场应急处置的组织和协调</w:t>
            </w:r>
          </w:p>
        </w:tc>
      </w:tr>
      <w:tr w14:paraId="085CEE5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924479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技术支持专家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56C414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技术中心经理、技术支持工程师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E13B5F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提供技术决策支持，解决复杂技术问题</w:t>
            </w:r>
          </w:p>
        </w:tc>
      </w:tr>
      <w:tr w14:paraId="1BC8CF7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4FE5ED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后勤保障负责人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73F354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综合管理部经理、备件库专员、采购专员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0959F8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负责应急物资调配和后勤保障</w:t>
            </w:r>
          </w:p>
        </w:tc>
      </w:tr>
    </w:tbl>
    <w:p w14:paraId="19E490E9">
      <w:pPr>
        <w:pStyle w:val="33"/>
        <w:bidi w:val="0"/>
      </w:pPr>
      <w:bookmarkStart w:id="18" w:name="_Toc22114"/>
      <w:bookmarkStart w:id="19" w:name="heading_8"/>
      <w:r>
        <w:t>风险评估</w:t>
      </w:r>
      <w:bookmarkEnd w:id="18"/>
      <w:bookmarkEnd w:id="19"/>
    </w:p>
    <w:p w14:paraId="38DEBCEF">
      <w:pPr>
        <w:pStyle w:val="32"/>
        <w:bidi w:val="0"/>
      </w:pPr>
      <w:r>
        <w:t>风险评估是应急管理的基础，旨在识别潜在风险并确定其影响程度，为应急预案制定提供依据。</w:t>
      </w:r>
    </w:p>
    <w:p w14:paraId="50941938">
      <w:pPr>
        <w:pStyle w:val="34"/>
        <w:bidi w:val="0"/>
      </w:pPr>
      <w:bookmarkStart w:id="20" w:name="_Toc14656"/>
      <w:bookmarkStart w:id="21" w:name="heading_9"/>
      <w:r>
        <w:t>评估频次</w:t>
      </w:r>
      <w:bookmarkEnd w:id="20"/>
      <w:bookmarkEnd w:id="21"/>
    </w:p>
    <w:p w14:paraId="5AFE1727">
      <w:pPr>
        <w:pStyle w:val="3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2" w:name="_Toc2035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风险评估频次表</w:t>
      </w:r>
      <w:bookmarkEnd w:id="22"/>
    </w:p>
    <w:tbl>
      <w:tblPr>
        <w:tblStyle w:val="22"/>
        <w:tblW w:w="600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0"/>
        <w:gridCol w:w="3276"/>
        <w:gridCol w:w="1604"/>
      </w:tblGrid>
      <w:tr w14:paraId="1166692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2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7FE2B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评估类型</w:t>
            </w:r>
          </w:p>
        </w:tc>
        <w:tc>
          <w:tcPr>
            <w:tcW w:w="327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6531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评估时机</w:t>
            </w:r>
          </w:p>
        </w:tc>
        <w:tc>
          <w:tcPr>
            <w:tcW w:w="160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B1FDB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</w:tr>
      <w:tr w14:paraId="249D9F9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D5394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年度评估</w:t>
            </w:r>
          </w:p>
        </w:tc>
        <w:tc>
          <w:tcPr>
            <w:tcW w:w="32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003C3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每年12月组织一次全面风险评估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72AD0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</w:t>
            </w:r>
          </w:p>
        </w:tc>
      </w:tr>
      <w:tr w14:paraId="699B149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A08D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专项评估</w:t>
            </w:r>
          </w:p>
        </w:tc>
        <w:tc>
          <w:tcPr>
            <w:tcW w:w="32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39B09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新项目启动、重大变更实施前、新技术引入时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D81CD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运维项目经理</w:t>
            </w:r>
          </w:p>
        </w:tc>
      </w:tr>
    </w:tbl>
    <w:p w14:paraId="3C76174F">
      <w:pPr>
        <w:pStyle w:val="34"/>
        <w:bidi w:val="0"/>
      </w:pPr>
      <w:bookmarkStart w:id="23" w:name="_Toc23943"/>
      <w:bookmarkStart w:id="24" w:name="heading_10"/>
      <w:r>
        <w:t>评估内容</w:t>
      </w:r>
      <w:bookmarkEnd w:id="23"/>
      <w:bookmarkEnd w:id="24"/>
    </w:p>
    <w:p w14:paraId="3618C7E7">
      <w:pPr>
        <w:pStyle w:val="3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5" w:name="_Toc624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风险评估内容表</w:t>
      </w:r>
      <w:bookmarkEnd w:id="25"/>
    </w:p>
    <w:tbl>
      <w:tblPr>
        <w:tblStyle w:val="22"/>
        <w:tblW w:w="600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4"/>
        <w:gridCol w:w="4696"/>
      </w:tblGrid>
      <w:tr w14:paraId="32B3906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0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0C8B0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风险类别</w:t>
            </w:r>
          </w:p>
        </w:tc>
        <w:tc>
          <w:tcPr>
            <w:tcW w:w="469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F9D99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评估内容</w:t>
            </w:r>
          </w:p>
        </w:tc>
      </w:tr>
      <w:tr w14:paraId="6B1C00D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8D79C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技术风险</w:t>
            </w:r>
          </w:p>
        </w:tc>
        <w:tc>
          <w:tcPr>
            <w:tcW w:w="46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B7E9D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系统架构缺陷、软件漏洞、硬件老化、容量瓶颈</w:t>
            </w:r>
          </w:p>
        </w:tc>
      </w:tr>
      <w:tr w14:paraId="141AA5A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77B44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安全风险</w:t>
            </w:r>
          </w:p>
        </w:tc>
        <w:tc>
          <w:tcPr>
            <w:tcW w:w="46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39055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网络攻击、病毒入侵、数据泄露、权限滥用</w:t>
            </w:r>
          </w:p>
        </w:tc>
      </w:tr>
      <w:tr w14:paraId="0812E02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0057F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环境风险</w:t>
            </w:r>
          </w:p>
        </w:tc>
        <w:tc>
          <w:tcPr>
            <w:tcW w:w="46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72CF9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电力中断、空调故障、火灾、水灾</w:t>
            </w:r>
          </w:p>
        </w:tc>
      </w:tr>
      <w:tr w14:paraId="68BE4F1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0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6443C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人员风险</w:t>
            </w:r>
          </w:p>
        </w:tc>
        <w:tc>
          <w:tcPr>
            <w:tcW w:w="46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52C1D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关键人员离职、操作失误、技能不足</w:t>
            </w:r>
          </w:p>
        </w:tc>
      </w:tr>
    </w:tbl>
    <w:p w14:paraId="2E72DDAB">
      <w:pPr>
        <w:pStyle w:val="34"/>
        <w:bidi w:val="0"/>
      </w:pPr>
      <w:bookmarkStart w:id="26" w:name="_Toc13952"/>
      <w:bookmarkStart w:id="27" w:name="heading_11"/>
      <w:r>
        <w:t>评估方法</w:t>
      </w:r>
      <w:bookmarkEnd w:id="26"/>
      <w:bookmarkEnd w:id="27"/>
    </w:p>
    <w:p w14:paraId="461CC852">
      <w:pPr>
        <w:pStyle w:val="32"/>
        <w:bidi w:val="0"/>
      </w:pPr>
      <w:r>
        <w:t>采用定性或定量方法，对风险发生概率和影响程度进行评估，形成《风险评估报告》，确定风险等级（高/中/低）及应对优先级。</w:t>
      </w:r>
    </w:p>
    <w:p w14:paraId="79029E0B">
      <w:pPr>
        <w:pStyle w:val="33"/>
        <w:bidi w:val="0"/>
      </w:pPr>
      <w:bookmarkStart w:id="28" w:name="heading_12"/>
      <w:bookmarkStart w:id="29" w:name="_Toc5337"/>
      <w:r>
        <w:t>应急预案管理</w:t>
      </w:r>
      <w:bookmarkEnd w:id="28"/>
      <w:bookmarkEnd w:id="29"/>
    </w:p>
    <w:p w14:paraId="549761CA">
      <w:pPr>
        <w:pStyle w:val="32"/>
        <w:bidi w:val="0"/>
      </w:pPr>
      <w:r>
        <w:t>应急预案是针对可能发生的突发事件，预先制定的处置方案。</w:t>
      </w:r>
    </w:p>
    <w:p w14:paraId="1099DDD9">
      <w:pPr>
        <w:pStyle w:val="34"/>
        <w:bidi w:val="0"/>
      </w:pPr>
      <w:bookmarkStart w:id="30" w:name="heading_13"/>
      <w:bookmarkStart w:id="31" w:name="_Toc19955"/>
      <w:r>
        <w:t>预案编制要求</w:t>
      </w:r>
      <w:bookmarkEnd w:id="30"/>
      <w:bookmarkEnd w:id="31"/>
    </w:p>
    <w:p w14:paraId="3B776931">
      <w:pPr>
        <w:pStyle w:val="4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bookmarkStart w:id="32" w:name="_Toc18217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应急预案编制要求表</w:t>
      </w:r>
      <w:bookmarkEnd w:id="32"/>
    </w:p>
    <w:tbl>
      <w:tblPr>
        <w:tblStyle w:val="22"/>
        <w:tblW w:w="600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4"/>
        <w:gridCol w:w="5046"/>
      </w:tblGrid>
      <w:tr w14:paraId="283C985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</w:tblPrEx>
        <w:trPr>
          <w:trHeight w:val="0" w:hRule="atLeast"/>
          <w:tblHeader/>
          <w:jc w:val="center"/>
        </w:trPr>
        <w:tc>
          <w:tcPr>
            <w:tcW w:w="95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E057A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504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2292F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编制要求</w:t>
            </w:r>
          </w:p>
        </w:tc>
      </w:tr>
      <w:tr w14:paraId="57094F8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5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A562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50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F63E5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每个运维项目应至少制定一份《应急预案》，涵盖项目核心系统</w:t>
            </w:r>
          </w:p>
        </w:tc>
      </w:tr>
      <w:tr w14:paraId="20E7CBD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5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29831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50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0234B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应急预案应包括：适用范围、应急组织架构及职责、风险场景及对应处置流程、联络方式、资源清单、恢复步骤、回退方案等</w:t>
            </w:r>
          </w:p>
        </w:tc>
      </w:tr>
      <w:tr w14:paraId="0D94E04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</w:tblPrEx>
        <w:trPr>
          <w:trHeight w:val="0" w:hRule="atLeast"/>
          <w:jc w:val="center"/>
        </w:trPr>
        <w:tc>
          <w:tcPr>
            <w:tcW w:w="95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8DF4C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50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97DD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应急预案应简明实用，便于快速查阅和执行</w:t>
            </w:r>
          </w:p>
        </w:tc>
      </w:tr>
    </w:tbl>
    <w:p w14:paraId="4485D17E">
      <w:pPr>
        <w:pStyle w:val="34"/>
        <w:bidi w:val="0"/>
      </w:pPr>
      <w:bookmarkStart w:id="33" w:name="_Toc13922"/>
      <w:bookmarkStart w:id="34" w:name="heading_14"/>
      <w:r>
        <w:t>预案审批</w:t>
      </w:r>
      <w:bookmarkEnd w:id="33"/>
      <w:bookmarkEnd w:id="34"/>
    </w:p>
    <w:p w14:paraId="3A318C3E">
      <w:pPr>
        <w:pStyle w:val="32"/>
        <w:bidi w:val="0"/>
      </w:pPr>
      <w:r>
        <w:t>应急预案由运维项目经理组织编写，经运维部经理审核、副总经理批准后发布执行。</w:t>
      </w:r>
    </w:p>
    <w:p w14:paraId="5E54C1E8">
      <w:pPr>
        <w:pStyle w:val="34"/>
        <w:bidi w:val="0"/>
      </w:pPr>
      <w:bookmarkStart w:id="35" w:name="heading_15"/>
      <w:bookmarkStart w:id="36" w:name="_Toc20815"/>
      <w:r>
        <w:t>预案发布与宣贯</w:t>
      </w:r>
      <w:bookmarkEnd w:id="35"/>
      <w:bookmarkEnd w:id="36"/>
    </w:p>
    <w:p w14:paraId="18DF4FDB">
      <w:pPr>
        <w:pStyle w:val="4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bookmarkStart w:id="37" w:name="_Toc25888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预案发布宣贯要求表</w:t>
      </w:r>
      <w:bookmarkEnd w:id="37"/>
    </w:p>
    <w:tbl>
      <w:tblPr>
        <w:tblStyle w:val="22"/>
        <w:tblW w:w="600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7"/>
        <w:gridCol w:w="5363"/>
      </w:tblGrid>
      <w:tr w14:paraId="38A799E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82434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536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2D526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管理要求</w:t>
            </w:r>
          </w:p>
        </w:tc>
      </w:tr>
      <w:tr w14:paraId="7D940B5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8D908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536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C430A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应急预案发布后，应组织相关人员进行培训，确保熟悉预案内容</w:t>
            </w:r>
          </w:p>
        </w:tc>
      </w:tr>
      <w:tr w14:paraId="16E3A13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2E5C2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53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4BCF1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应急预案应分发至所有应急组织成员，并存放于易获取的位置（如共享文档库、运维工具中）</w:t>
            </w:r>
          </w:p>
        </w:tc>
      </w:tr>
    </w:tbl>
    <w:p w14:paraId="0BB7E7A3">
      <w:pPr>
        <w:pStyle w:val="34"/>
        <w:bidi w:val="0"/>
      </w:pPr>
      <w:bookmarkStart w:id="38" w:name="heading_16"/>
      <w:bookmarkStart w:id="39" w:name="_Toc5517"/>
      <w:r>
        <w:t>预案更新</w:t>
      </w:r>
      <w:bookmarkEnd w:id="38"/>
      <w:bookmarkEnd w:id="39"/>
    </w:p>
    <w:p w14:paraId="6FECDA45">
      <w:pPr>
        <w:pStyle w:val="4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val="en-US" w:eastAsia="zh-CN"/>
        </w:rPr>
        <w:fldChar w:fldCharType="end"/>
      </w:r>
      <w:bookmarkStart w:id="40" w:name="_Toc23660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预案更新要求表</w:t>
      </w:r>
      <w:bookmarkEnd w:id="40"/>
    </w:p>
    <w:tbl>
      <w:tblPr>
        <w:tblStyle w:val="22"/>
        <w:tblW w:w="7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2"/>
        <w:gridCol w:w="6588"/>
      </w:tblGrid>
      <w:tr w14:paraId="39D9B7A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9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1174D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658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90592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更新时机</w:t>
            </w:r>
          </w:p>
        </w:tc>
      </w:tr>
      <w:tr w14:paraId="3480F1E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120B2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65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3557F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每年至少评审一次应急预案</w:t>
            </w:r>
          </w:p>
        </w:tc>
      </w:tr>
      <w:tr w14:paraId="2C70469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108DB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65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FFABA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根据风险评估结果、演练总结、实际事件处置经验进行修订</w:t>
            </w:r>
          </w:p>
        </w:tc>
      </w:tr>
      <w:tr w14:paraId="0AD2C13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3723D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65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B825C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重大变更或组织架构调整后，应及时更新应急预案</w:t>
            </w:r>
          </w:p>
        </w:tc>
      </w:tr>
    </w:tbl>
    <w:p w14:paraId="585455C7">
      <w:pPr>
        <w:pStyle w:val="33"/>
        <w:bidi w:val="0"/>
      </w:pPr>
      <w:bookmarkStart w:id="41" w:name="_Toc5296"/>
      <w:bookmarkStart w:id="42" w:name="heading_17"/>
      <w:r>
        <w:t>应急响应流程</w:t>
      </w:r>
      <w:bookmarkEnd w:id="41"/>
      <w:bookmarkEnd w:id="42"/>
    </w:p>
    <w:p w14:paraId="2DC2502A">
      <w:pPr>
        <w:pStyle w:val="32"/>
        <w:bidi w:val="0"/>
      </w:pPr>
      <w:r>
        <w:t>应急响应流程分为监测与预警、先期处置、应急启动、应急处置、应急终止五个阶段。</w:t>
      </w:r>
    </w:p>
    <w:p w14:paraId="25E8F8EA">
      <w:pPr>
        <w:pStyle w:val="34"/>
        <w:bidi w:val="0"/>
      </w:pPr>
      <w:bookmarkStart w:id="43" w:name="heading_18"/>
      <w:bookmarkStart w:id="44" w:name="_Toc21214"/>
      <w:r>
        <w:t>监测与预警</w:t>
      </w:r>
      <w:bookmarkEnd w:id="43"/>
      <w:bookmarkEnd w:id="44"/>
    </w:p>
    <w:p w14:paraId="1D790004">
      <w:pPr>
        <w:pStyle w:val="4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zh-CN"/>
        </w:rPr>
        <w:fldChar w:fldCharType="end"/>
      </w:r>
      <w:bookmarkStart w:id="45" w:name="_Toc12226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监测与预警要求表</w:t>
      </w:r>
      <w:bookmarkEnd w:id="45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9"/>
        <w:gridCol w:w="7823"/>
      </w:tblGrid>
      <w:tr w14:paraId="5BDBC92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</w:tblPrEx>
        <w:trPr>
          <w:trHeight w:val="0" w:hRule="atLeast"/>
          <w:tblHeader/>
          <w:jc w:val="center"/>
        </w:trPr>
        <w:tc>
          <w:tcPr>
            <w:tcW w:w="69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F9790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782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2BB6A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管理要求</w:t>
            </w:r>
          </w:p>
        </w:tc>
      </w:tr>
      <w:tr w14:paraId="1FE7568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951A1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78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A5B6C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通过监控工具7×24小时实时监测系统运行状态</w:t>
            </w:r>
          </w:p>
        </w:tc>
      </w:tr>
      <w:tr w14:paraId="6FB8044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E6252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78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A50A9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当监控指标触发预警阈值时，监控系统自动发送告警至值班人员</w:t>
            </w:r>
          </w:p>
        </w:tc>
      </w:tr>
      <w:tr w14:paraId="06C6F7A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87632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78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87A48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值班人员应立即核实告警信息，判断是否为突发事件，必要时启动应急响应</w:t>
            </w:r>
          </w:p>
        </w:tc>
      </w:tr>
    </w:tbl>
    <w:p w14:paraId="5A46739F">
      <w:pPr>
        <w:pStyle w:val="34"/>
        <w:bidi w:val="0"/>
      </w:pPr>
      <w:bookmarkStart w:id="46" w:name="heading_19"/>
      <w:bookmarkStart w:id="47" w:name="_Toc18436"/>
      <w:r>
        <w:t>先期处置</w:t>
      </w:r>
      <w:bookmarkEnd w:id="46"/>
      <w:bookmarkEnd w:id="47"/>
    </w:p>
    <w:p w14:paraId="35116538">
      <w:pPr>
        <w:pStyle w:val="4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9</w:t>
      </w:r>
      <w:r>
        <w:rPr>
          <w:rFonts w:hint="eastAsia"/>
          <w:lang w:val="en-US" w:eastAsia="zh-CN"/>
        </w:rPr>
        <w:fldChar w:fldCharType="end"/>
      </w:r>
      <w:bookmarkStart w:id="48" w:name="_Toc12205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先期处置要求表</w:t>
      </w:r>
      <w:bookmarkEnd w:id="48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7"/>
        <w:gridCol w:w="7825"/>
      </w:tblGrid>
      <w:tr w14:paraId="66DD568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9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3E88D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782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76D10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管理要求</w:t>
            </w:r>
          </w:p>
        </w:tc>
      </w:tr>
      <w:tr w14:paraId="1308CC7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C695A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78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21C94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一线工程师接到告警后，应在15分钟内响应，尝试快速恢复服务</w:t>
            </w:r>
          </w:p>
        </w:tc>
      </w:tr>
      <w:tr w14:paraId="17E228E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ED561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78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8B95A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若在30分钟内无法恢复，或事件影响重大（如核心业务中断），应立即上报运维项目经理和副总经理</w:t>
            </w:r>
          </w:p>
        </w:tc>
      </w:tr>
    </w:tbl>
    <w:p w14:paraId="6E9CE70C">
      <w:pPr>
        <w:pStyle w:val="34"/>
        <w:bidi w:val="0"/>
      </w:pPr>
      <w:bookmarkStart w:id="49" w:name="heading_20"/>
      <w:bookmarkStart w:id="50" w:name="_Toc29238"/>
      <w:r>
        <w:t>应急启动</w:t>
      </w:r>
      <w:bookmarkEnd w:id="49"/>
      <w:bookmarkEnd w:id="50"/>
    </w:p>
    <w:p w14:paraId="0D307618">
      <w:pPr>
        <w:pStyle w:val="4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10</w:t>
      </w:r>
      <w:r>
        <w:rPr>
          <w:rFonts w:hint="eastAsia"/>
          <w:lang w:val="en-US" w:eastAsia="zh-CN"/>
        </w:rPr>
        <w:fldChar w:fldCharType="end"/>
      </w:r>
      <w:bookmarkStart w:id="51" w:name="_Toc13332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应急启动要求表</w:t>
      </w:r>
      <w:bookmarkEnd w:id="51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8"/>
        <w:gridCol w:w="7824"/>
      </w:tblGrid>
      <w:tr w14:paraId="2B3D20E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</w:tblPrEx>
        <w:trPr>
          <w:trHeight w:val="0" w:hRule="atLeast"/>
          <w:tblHeader/>
          <w:jc w:val="center"/>
        </w:trPr>
        <w:tc>
          <w:tcPr>
            <w:tcW w:w="6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F415A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782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5304E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管理要求</w:t>
            </w:r>
          </w:p>
        </w:tc>
      </w:tr>
      <w:tr w14:paraId="05ADAD7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E92E8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78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C81F0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应急领导小组根据事件等级决定是否启动应急预案</w:t>
            </w:r>
          </w:p>
        </w:tc>
      </w:tr>
      <w:tr w14:paraId="63E7E36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33DED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78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69147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启动应急预案后，应急总指挥下达指令，应急执行小组迅速到位，按照预案开展处置工作</w:t>
            </w:r>
          </w:p>
        </w:tc>
      </w:tr>
    </w:tbl>
    <w:p w14:paraId="677B344D">
      <w:pPr>
        <w:pStyle w:val="34"/>
        <w:bidi w:val="0"/>
      </w:pPr>
      <w:bookmarkStart w:id="52" w:name="heading_21"/>
      <w:bookmarkStart w:id="53" w:name="_Toc19618"/>
      <w:r>
        <w:t>应急处置</w:t>
      </w:r>
      <w:bookmarkEnd w:id="52"/>
      <w:bookmarkEnd w:id="53"/>
    </w:p>
    <w:p w14:paraId="73E53EC1">
      <w:pPr>
        <w:pStyle w:val="4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11</w:t>
      </w:r>
      <w:r>
        <w:rPr>
          <w:rFonts w:hint="eastAsia"/>
          <w:lang w:val="en-US" w:eastAsia="zh-CN"/>
        </w:rPr>
        <w:fldChar w:fldCharType="end"/>
      </w:r>
      <w:bookmarkStart w:id="54" w:name="_Toc2676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应急处置要求表</w:t>
      </w:r>
      <w:bookmarkEnd w:id="54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6"/>
        <w:gridCol w:w="7306"/>
      </w:tblGrid>
      <w:tr w14:paraId="2AFDA80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1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FEC24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阶段</w:t>
            </w:r>
          </w:p>
        </w:tc>
        <w:tc>
          <w:tcPr>
            <w:tcW w:w="730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D8E4A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管理要求</w:t>
            </w:r>
          </w:p>
        </w:tc>
      </w:tr>
      <w:tr w14:paraId="0EAD8A2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969B2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故障排查</w:t>
            </w:r>
          </w:p>
        </w:tc>
        <w:tc>
          <w:tcPr>
            <w:tcW w:w="73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22DBB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快速定位故障点，分析故障原因</w:t>
            </w:r>
          </w:p>
        </w:tc>
      </w:tr>
      <w:tr w14:paraId="72291F8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CAD53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服务恢复</w:t>
            </w:r>
          </w:p>
        </w:tc>
        <w:tc>
          <w:tcPr>
            <w:tcW w:w="73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950BB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采取有效措施恢复服务，必要时执行回退方案</w:t>
            </w:r>
          </w:p>
        </w:tc>
      </w:tr>
      <w:tr w14:paraId="47F7908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DBE82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信息通报</w:t>
            </w:r>
          </w:p>
        </w:tc>
        <w:tc>
          <w:tcPr>
            <w:tcW w:w="73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C78F9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按照预案要求，及时向客户、管理层通报处置进展，重大事件每30分钟通报一次</w:t>
            </w:r>
          </w:p>
        </w:tc>
      </w:tr>
      <w:tr w14:paraId="4343839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E0A21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资源协调</w:t>
            </w:r>
          </w:p>
        </w:tc>
        <w:tc>
          <w:tcPr>
            <w:tcW w:w="73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9E68B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如需外部支持（如厂商、研发部门），由应急领导小组协调</w:t>
            </w:r>
          </w:p>
        </w:tc>
      </w:tr>
    </w:tbl>
    <w:p w14:paraId="41930479">
      <w:pPr>
        <w:pStyle w:val="34"/>
        <w:bidi w:val="0"/>
      </w:pPr>
      <w:bookmarkStart w:id="55" w:name="heading_22"/>
      <w:bookmarkStart w:id="56" w:name="_Toc4232"/>
      <w:r>
        <w:t>应急终止</w:t>
      </w:r>
      <w:bookmarkEnd w:id="55"/>
      <w:bookmarkEnd w:id="56"/>
    </w:p>
    <w:p w14:paraId="4C7F884B">
      <w:pPr>
        <w:pStyle w:val="4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12</w:t>
      </w:r>
      <w:r>
        <w:rPr>
          <w:rFonts w:hint="eastAsia"/>
          <w:lang w:val="en-US" w:eastAsia="zh-CN"/>
        </w:rPr>
        <w:fldChar w:fldCharType="end"/>
      </w:r>
      <w:bookmarkStart w:id="57" w:name="_Toc15705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应急终止要求表</w:t>
      </w:r>
      <w:bookmarkEnd w:id="57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7"/>
        <w:gridCol w:w="7825"/>
      </w:tblGrid>
      <w:tr w14:paraId="34FA2DE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</w:tblPrEx>
        <w:trPr>
          <w:trHeight w:val="0" w:hRule="atLeast"/>
          <w:tblHeader/>
          <w:jc w:val="center"/>
        </w:trPr>
        <w:tc>
          <w:tcPr>
            <w:tcW w:w="69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5C186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782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D925A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管理要求</w:t>
            </w:r>
          </w:p>
        </w:tc>
      </w:tr>
      <w:tr w14:paraId="681BF65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9DC69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78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B8F99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服务恢复且系统稳定运行30分钟后，经应急领导小组确认，可终止应急响应</w:t>
            </w:r>
          </w:p>
        </w:tc>
      </w:tr>
      <w:tr w14:paraId="2CE4717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1236D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78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A12BF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应急终止后，应填写《应急事件处置报告》，详细记录事件发生时间、影响范围、处置过程、恢复时间、根本原因、改进措施等</w:t>
            </w:r>
          </w:p>
        </w:tc>
      </w:tr>
    </w:tbl>
    <w:p w14:paraId="1B7D6CD9">
      <w:pPr>
        <w:pStyle w:val="33"/>
        <w:bidi w:val="0"/>
      </w:pPr>
      <w:bookmarkStart w:id="58" w:name="_Toc28870"/>
      <w:bookmarkStart w:id="59" w:name="heading_23"/>
      <w:r>
        <w:t>应急演练</w:t>
      </w:r>
      <w:bookmarkEnd w:id="58"/>
      <w:bookmarkEnd w:id="59"/>
    </w:p>
    <w:p w14:paraId="301EC002">
      <w:pPr>
        <w:pStyle w:val="32"/>
        <w:bidi w:val="0"/>
      </w:pPr>
      <w:r>
        <w:t>应急演练是检验应急预案有效性和提升应急队伍能力的重要手段。</w:t>
      </w:r>
    </w:p>
    <w:p w14:paraId="14C9A79A">
      <w:pPr>
        <w:pStyle w:val="34"/>
        <w:bidi w:val="0"/>
      </w:pPr>
      <w:bookmarkStart w:id="60" w:name="_Toc7147"/>
      <w:bookmarkStart w:id="61" w:name="heading_24"/>
      <w:r>
        <w:t>演练频次</w:t>
      </w:r>
      <w:bookmarkEnd w:id="60"/>
      <w:bookmarkEnd w:id="61"/>
    </w:p>
    <w:p w14:paraId="62D152D7">
      <w:pPr>
        <w:pStyle w:val="4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13</w:t>
      </w:r>
      <w:r>
        <w:rPr>
          <w:rFonts w:hint="eastAsia"/>
          <w:lang w:val="en-US" w:eastAsia="zh-CN"/>
        </w:rPr>
        <w:fldChar w:fldCharType="end"/>
      </w:r>
      <w:bookmarkStart w:id="62" w:name="_Toc954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应急演练频次表</w:t>
      </w:r>
      <w:bookmarkEnd w:id="62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6"/>
        <w:gridCol w:w="3315"/>
        <w:gridCol w:w="2841"/>
      </w:tblGrid>
      <w:tr w14:paraId="4FC1F87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</w:tblPrEx>
        <w:trPr>
          <w:trHeight w:val="0" w:hRule="atLeast"/>
          <w:tblHeader/>
          <w:jc w:val="center"/>
        </w:trPr>
        <w:tc>
          <w:tcPr>
            <w:tcW w:w="236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6FFF4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演练类型</w:t>
            </w:r>
          </w:p>
        </w:tc>
        <w:tc>
          <w:tcPr>
            <w:tcW w:w="331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6F672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频次</w:t>
            </w:r>
          </w:p>
        </w:tc>
        <w:tc>
          <w:tcPr>
            <w:tcW w:w="284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FDF9F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责任人</w:t>
            </w:r>
          </w:p>
        </w:tc>
      </w:tr>
      <w:tr w14:paraId="2F9536A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99C83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全面演练</w:t>
            </w:r>
          </w:p>
        </w:tc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9BDBA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每年至少一次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F97A8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副总经理</w:t>
            </w:r>
          </w:p>
        </w:tc>
      </w:tr>
      <w:tr w14:paraId="297235C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43C9B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专项演练</w:t>
            </w:r>
          </w:p>
        </w:tc>
        <w:tc>
          <w:tcPr>
            <w:tcW w:w="33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7EFF9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每季度一次</w:t>
            </w:r>
          </w:p>
        </w:tc>
        <w:tc>
          <w:tcPr>
            <w:tcW w:w="28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EF1BD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</w:t>
            </w:r>
          </w:p>
        </w:tc>
      </w:tr>
    </w:tbl>
    <w:p w14:paraId="5A88E013">
      <w:pPr>
        <w:pStyle w:val="34"/>
        <w:bidi w:val="0"/>
      </w:pPr>
      <w:bookmarkStart w:id="63" w:name="_Toc1997"/>
      <w:bookmarkStart w:id="64" w:name="heading_25"/>
      <w:r>
        <w:t>演练形式</w:t>
      </w:r>
      <w:bookmarkEnd w:id="63"/>
      <w:bookmarkEnd w:id="64"/>
    </w:p>
    <w:p w14:paraId="7E1A55AB">
      <w:pPr>
        <w:pStyle w:val="4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14</w:t>
      </w:r>
      <w:r>
        <w:rPr>
          <w:rFonts w:hint="eastAsia"/>
          <w:lang w:val="en-US" w:eastAsia="zh-CN"/>
        </w:rPr>
        <w:fldChar w:fldCharType="end"/>
      </w:r>
      <w:bookmarkStart w:id="65" w:name="_Toc18000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应急演练形式表</w:t>
      </w:r>
      <w:bookmarkEnd w:id="65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6"/>
        <w:gridCol w:w="6816"/>
      </w:tblGrid>
      <w:tr w14:paraId="7DF6942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</w:tblPrEx>
        <w:trPr>
          <w:trHeight w:val="0" w:hRule="atLeast"/>
          <w:tblHeader/>
          <w:jc w:val="center"/>
        </w:trPr>
        <w:tc>
          <w:tcPr>
            <w:tcW w:w="170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DC303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演练形式</w:t>
            </w:r>
          </w:p>
        </w:tc>
        <w:tc>
          <w:tcPr>
            <w:tcW w:w="681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1734B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5768812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0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F9A06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桌面推演</w:t>
            </w:r>
          </w:p>
        </w:tc>
        <w:tc>
          <w:tcPr>
            <w:tcW w:w="68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00E51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以会议形式讨论应急预案，检验流程合理性</w:t>
            </w:r>
          </w:p>
        </w:tc>
      </w:tr>
      <w:tr w14:paraId="3647E2D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0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16CF4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实战演练</w:t>
            </w:r>
          </w:p>
        </w:tc>
        <w:tc>
          <w:tcPr>
            <w:tcW w:w="68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C9352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模拟真实故障场景，实际操作应急处置流程</w:t>
            </w:r>
          </w:p>
        </w:tc>
      </w:tr>
    </w:tbl>
    <w:p w14:paraId="1AE40742">
      <w:pPr>
        <w:pStyle w:val="34"/>
        <w:bidi w:val="0"/>
      </w:pPr>
      <w:bookmarkStart w:id="82" w:name="_GoBack"/>
      <w:bookmarkEnd w:id="82"/>
      <w:bookmarkStart w:id="66" w:name="_Toc18787"/>
      <w:bookmarkStart w:id="67" w:name="heading_26"/>
      <w:r>
        <w:t>演练要求</w:t>
      </w:r>
      <w:bookmarkEnd w:id="66"/>
      <w:bookmarkEnd w:id="67"/>
    </w:p>
    <w:p w14:paraId="36C5D34F">
      <w:pPr>
        <w:pStyle w:val="4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15</w:t>
      </w:r>
      <w:r>
        <w:rPr>
          <w:rFonts w:hint="eastAsia"/>
          <w:lang w:val="en-US" w:eastAsia="zh-CN"/>
        </w:rPr>
        <w:fldChar w:fldCharType="end"/>
      </w:r>
      <w:bookmarkStart w:id="68" w:name="_Toc1787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应急演练要求表</w:t>
      </w:r>
      <w:bookmarkEnd w:id="68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8"/>
        <w:gridCol w:w="7824"/>
      </w:tblGrid>
      <w:tr w14:paraId="668AF93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5F7DA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782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75868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管理要求</w:t>
            </w:r>
          </w:p>
        </w:tc>
      </w:tr>
      <w:tr w14:paraId="2F87A0C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46D8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78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5D2CE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演练前制定《应急演练计划》，明确演练目标、场景、参与人员、物资准备</w:t>
            </w:r>
          </w:p>
        </w:tc>
      </w:tr>
      <w:tr w14:paraId="3359281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5CDAF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782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37DA3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演练过程全程记录，演练后组织复盘，评估演练效果，形成《应急演练总结报告》</w:t>
            </w:r>
          </w:p>
        </w:tc>
      </w:tr>
      <w:tr w14:paraId="594232E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73235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78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8077C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针对演练中发现的问题，及时修订应急预案，并组织再培训</w:t>
            </w:r>
          </w:p>
        </w:tc>
      </w:tr>
    </w:tbl>
    <w:p w14:paraId="5197C1EB">
      <w:pPr>
        <w:pStyle w:val="33"/>
        <w:bidi w:val="0"/>
      </w:pPr>
      <w:bookmarkStart w:id="69" w:name="heading_27"/>
      <w:bookmarkStart w:id="70" w:name="_Toc19808"/>
      <w:r>
        <w:t>总结改进</w:t>
      </w:r>
      <w:bookmarkEnd w:id="69"/>
      <w:bookmarkEnd w:id="70"/>
    </w:p>
    <w:p w14:paraId="06DBB28E">
      <w:pPr>
        <w:pStyle w:val="32"/>
        <w:bidi w:val="0"/>
      </w:pPr>
      <w:r>
        <w:t>每次应急事件或演练结束后，应及时进行总结，推动应急管理体系持续改进。</w:t>
      </w:r>
    </w:p>
    <w:p w14:paraId="69D2FC4C">
      <w:pPr>
        <w:pStyle w:val="4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16</w:t>
      </w:r>
      <w:r>
        <w:rPr>
          <w:rFonts w:hint="eastAsia"/>
          <w:lang w:val="en-US" w:eastAsia="zh-CN"/>
        </w:rPr>
        <w:fldChar w:fldCharType="end"/>
      </w:r>
      <w:bookmarkStart w:id="71" w:name="_Toc29596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总结改进要求表</w:t>
      </w:r>
      <w:bookmarkEnd w:id="71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1"/>
        <w:gridCol w:w="7311"/>
      </w:tblGrid>
      <w:tr w14:paraId="20C51BD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1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12E2C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活动</w:t>
            </w:r>
          </w:p>
        </w:tc>
        <w:tc>
          <w:tcPr>
            <w:tcW w:w="731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A06B0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管理要求</w:t>
            </w:r>
          </w:p>
        </w:tc>
      </w:tr>
      <w:tr w14:paraId="6CC761E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F8CBD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事件复盘</w:t>
            </w:r>
          </w:p>
        </w:tc>
        <w:tc>
          <w:tcPr>
            <w:tcW w:w="73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D266C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应急事件结束后5个工作日内，由副总经理组织复盘会议，分析事件原因、处置过程、存在问题，形成《应急事件复盘报告》</w:t>
            </w:r>
          </w:p>
        </w:tc>
      </w:tr>
      <w:tr w14:paraId="09C3690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82732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改进措施</w:t>
            </w:r>
          </w:p>
        </w:tc>
        <w:tc>
          <w:tcPr>
            <w:tcW w:w="731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1DF77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针对复盘发现的问题，制定改进措施，明确责任人和完成时限，纳入公司《服务改进计划》跟踪落实</w:t>
            </w:r>
          </w:p>
        </w:tc>
      </w:tr>
      <w:tr w14:paraId="111D91C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3CDEC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知识沉淀</w:t>
            </w:r>
          </w:p>
        </w:tc>
        <w:tc>
          <w:tcPr>
            <w:tcW w:w="73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DE900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将应急处置过程中的经验教训、解决方案纳入运维知识库，供全员共享</w:t>
            </w:r>
          </w:p>
        </w:tc>
      </w:tr>
    </w:tbl>
    <w:p w14:paraId="3575A6FF">
      <w:pPr>
        <w:pStyle w:val="31"/>
        <w:bidi w:val="0"/>
      </w:pPr>
      <w:bookmarkStart w:id="72" w:name="_Toc7645"/>
      <w:bookmarkStart w:id="73" w:name="heading_28"/>
      <w:r>
        <w:t>应急资源保障</w:t>
      </w:r>
      <w:bookmarkEnd w:id="72"/>
      <w:bookmarkEnd w:id="73"/>
    </w:p>
    <w:p w14:paraId="32EC77F3">
      <w:pPr>
        <w:pStyle w:val="32"/>
        <w:bidi w:val="0"/>
      </w:pPr>
      <w:r>
        <w:t>为确保应急响应高效有序，公司提供以下资源保障：</w:t>
      </w:r>
    </w:p>
    <w:p w14:paraId="3EC8F44B">
      <w:pPr>
        <w:pStyle w:val="4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4" w:name="_Toc6490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应急资源保障表</w:t>
      </w:r>
      <w:bookmarkEnd w:id="74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3"/>
        <w:gridCol w:w="7309"/>
      </w:tblGrid>
      <w:tr w14:paraId="31FEDCA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1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99BAE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资源类型</w:t>
            </w:r>
          </w:p>
        </w:tc>
        <w:tc>
          <w:tcPr>
            <w:tcW w:w="730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5691B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保障措施</w:t>
            </w:r>
          </w:p>
        </w:tc>
      </w:tr>
      <w:tr w14:paraId="19F18EA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D6821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人员资源</w:t>
            </w:r>
          </w:p>
        </w:tc>
        <w:tc>
          <w:tcPr>
            <w:tcW w:w="7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FC98E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建立应急组织，明确AB角备份，确保关键岗位随时有人；定期组织应急培训</w:t>
            </w:r>
          </w:p>
        </w:tc>
      </w:tr>
      <w:tr w14:paraId="365A004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6DE8F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技术资源</w:t>
            </w:r>
          </w:p>
        </w:tc>
        <w:tc>
          <w:tcPr>
            <w:tcW w:w="7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1DE6B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部署监控工具、备份工具、远程支持工具；建立运维知识库，积累应急处理经验</w:t>
            </w:r>
          </w:p>
        </w:tc>
      </w:tr>
      <w:tr w14:paraId="35C5415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1545E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备件资源</w:t>
            </w:r>
          </w:p>
        </w:tc>
        <w:tc>
          <w:tcPr>
            <w:tcW w:w="7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320DA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建立备件库，储备关键备件（如服务器硬盘、内存、网络模块），并与供应商签订紧急供货协议</w:t>
            </w:r>
          </w:p>
        </w:tc>
      </w:tr>
      <w:tr w14:paraId="2BC45EF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84C0D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通信资源</w:t>
            </w:r>
          </w:p>
        </w:tc>
        <w:tc>
          <w:tcPr>
            <w:tcW w:w="7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B22B8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建立应急联络表（含客户、内部人员、供应商联系方式），确保通信畅通；建立应急电话会议系统</w:t>
            </w:r>
          </w:p>
        </w:tc>
      </w:tr>
      <w:tr w14:paraId="2B73B47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1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1BAA8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文档资源</w:t>
            </w:r>
          </w:p>
        </w:tc>
        <w:tc>
          <w:tcPr>
            <w:tcW w:w="73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C8E1A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应急预案、操作手册、网络拓扑图、系统架构图等随时可查</w:t>
            </w:r>
          </w:p>
        </w:tc>
      </w:tr>
    </w:tbl>
    <w:p w14:paraId="59CE708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5" w:name="_Toc13044"/>
      <w:bookmarkStart w:id="76" w:name="heading_29"/>
      <w:r>
        <w:t>关键绩效指标（KPI）</w:t>
      </w:r>
      <w:bookmarkEnd w:id="75"/>
    </w:p>
    <w:p w14:paraId="1CF14B73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7" w:name="_Toc7794"/>
      <w:r>
        <w:rPr>
          <w:rFonts w:hint="default"/>
          <w:lang w:val="en-US" w:eastAsia="zh-CN"/>
        </w:rPr>
        <w:t xml:space="preserve"> </w:t>
      </w:r>
      <w:r>
        <w:t>KPI指标表</w:t>
      </w:r>
      <w:bookmarkEnd w:id="77"/>
    </w:p>
    <w:tbl>
      <w:tblPr>
        <w:tblStyle w:val="22"/>
        <w:tblW w:w="8280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5"/>
        <w:gridCol w:w="964"/>
        <w:gridCol w:w="3020"/>
        <w:gridCol w:w="1205"/>
        <w:gridCol w:w="1206"/>
      </w:tblGrid>
      <w:tr w14:paraId="77A3177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8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D216F5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绩效指标</w:t>
            </w:r>
          </w:p>
        </w:tc>
        <w:tc>
          <w:tcPr>
            <w:tcW w:w="9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37471B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301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3B81D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衡量方式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42EBD0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考核频度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911807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</w:tr>
      <w:tr w14:paraId="5891FEE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C76AB6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应急演练次数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663322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t>≥</w:t>
            </w:r>
            <w:r>
              <w:rPr>
                <w:rFonts w:hint="eastAsia"/>
                <w:lang w:val="en-US" w:eastAsia="zh-CN"/>
              </w:rPr>
              <w:t>1次</w:t>
            </w:r>
          </w:p>
        </w:tc>
        <w:tc>
          <w:tcPr>
            <w:tcW w:w="30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2930FC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数量，应急演练报告数量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B573B4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年度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681401">
            <w:pPr>
              <w:pStyle w:val="3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</w:tr>
    </w:tbl>
    <w:p w14:paraId="20E5F6ED">
      <w:pPr>
        <w:pStyle w:val="32"/>
        <w:bidi w:val="0"/>
      </w:pPr>
    </w:p>
    <w:p w14:paraId="2BA642A1">
      <w:pPr>
        <w:pStyle w:val="31"/>
        <w:bidi w:val="0"/>
      </w:pPr>
      <w:bookmarkStart w:id="78" w:name="_Toc19511"/>
      <w:r>
        <w:t>记录与归档</w:t>
      </w:r>
      <w:bookmarkEnd w:id="76"/>
      <w:bookmarkEnd w:id="78"/>
    </w:p>
    <w:p w14:paraId="55429CA7">
      <w:pPr>
        <w:pStyle w:val="32"/>
        <w:bidi w:val="0"/>
      </w:pPr>
      <w:r>
        <w:t>应急管理过程中产生的各类记录应妥善保存，以备追溯和审计。</w:t>
      </w:r>
    </w:p>
    <w:p w14:paraId="42887D53">
      <w:pPr>
        <w:pStyle w:val="4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9" w:name="_Toc1061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记录归档要求表</w:t>
      </w:r>
      <w:bookmarkEnd w:id="79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2"/>
        <w:gridCol w:w="1955"/>
        <w:gridCol w:w="1955"/>
      </w:tblGrid>
      <w:tr w14:paraId="621D4FB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</w:tblPrEx>
        <w:trPr>
          <w:trHeight w:val="0" w:hRule="atLeast"/>
          <w:tblHeader/>
          <w:jc w:val="center"/>
        </w:trPr>
        <w:tc>
          <w:tcPr>
            <w:tcW w:w="461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9918A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记录名称</w:t>
            </w:r>
          </w:p>
        </w:tc>
        <w:tc>
          <w:tcPr>
            <w:tcW w:w="195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6DB32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保存责任</w:t>
            </w:r>
          </w:p>
        </w:tc>
        <w:tc>
          <w:tcPr>
            <w:tcW w:w="195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D24D3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保存期限</w:t>
            </w:r>
          </w:p>
        </w:tc>
      </w:tr>
      <w:tr w14:paraId="4CC42B9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6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0D834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《风险评估报告》</w:t>
            </w:r>
          </w:p>
        </w:tc>
        <w:tc>
          <w:tcPr>
            <w:tcW w:w="19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7606F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</w:t>
            </w:r>
          </w:p>
        </w:tc>
        <w:tc>
          <w:tcPr>
            <w:tcW w:w="19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1F6ED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5年</w:t>
            </w:r>
          </w:p>
        </w:tc>
      </w:tr>
      <w:tr w14:paraId="62424CC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6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3E6A3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《应急预案》</w:t>
            </w:r>
          </w:p>
        </w:tc>
        <w:tc>
          <w:tcPr>
            <w:tcW w:w="19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B1541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</w:t>
            </w:r>
          </w:p>
        </w:tc>
        <w:tc>
          <w:tcPr>
            <w:tcW w:w="19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72C93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长期</w:t>
            </w:r>
          </w:p>
        </w:tc>
      </w:tr>
      <w:tr w14:paraId="711861A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6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BFBAF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《应急演练计划》</w:t>
            </w:r>
          </w:p>
        </w:tc>
        <w:tc>
          <w:tcPr>
            <w:tcW w:w="19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B625B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</w:t>
            </w:r>
          </w:p>
        </w:tc>
        <w:tc>
          <w:tcPr>
            <w:tcW w:w="19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107A4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3年</w:t>
            </w:r>
          </w:p>
        </w:tc>
      </w:tr>
      <w:tr w14:paraId="19C7FCD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6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40F8D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《应急演练总结报告》</w:t>
            </w:r>
          </w:p>
        </w:tc>
        <w:tc>
          <w:tcPr>
            <w:tcW w:w="19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61E20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</w:t>
            </w:r>
          </w:p>
        </w:tc>
        <w:tc>
          <w:tcPr>
            <w:tcW w:w="19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F0ED5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3年</w:t>
            </w:r>
          </w:p>
        </w:tc>
      </w:tr>
      <w:tr w14:paraId="7217B23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61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41FF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《应急事件处置报告》</w:t>
            </w:r>
          </w:p>
        </w:tc>
        <w:tc>
          <w:tcPr>
            <w:tcW w:w="19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B1674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</w:t>
            </w:r>
          </w:p>
        </w:tc>
        <w:tc>
          <w:tcPr>
            <w:tcW w:w="19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3207D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5年</w:t>
            </w:r>
          </w:p>
        </w:tc>
      </w:tr>
      <w:tr w14:paraId="2B6A17E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61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248B0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《应急事件复盘报告》</w:t>
            </w:r>
          </w:p>
        </w:tc>
        <w:tc>
          <w:tcPr>
            <w:tcW w:w="19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CB7D4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</w:t>
            </w:r>
          </w:p>
        </w:tc>
        <w:tc>
          <w:tcPr>
            <w:tcW w:w="19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14CD0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5年</w:t>
            </w:r>
          </w:p>
        </w:tc>
      </w:tr>
    </w:tbl>
    <w:p w14:paraId="4C5DBDD4">
      <w:pPr>
        <w:pStyle w:val="31"/>
        <w:bidi w:val="0"/>
      </w:pPr>
      <w:bookmarkStart w:id="80" w:name="_Toc29253"/>
      <w:bookmarkStart w:id="81" w:name="heading_30"/>
      <w:r>
        <w:t>相关文件</w:t>
      </w:r>
      <w:bookmarkEnd w:id="80"/>
      <w:bookmarkEnd w:id="81"/>
    </w:p>
    <w:p w14:paraId="6EDB67CF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r>
        <w:t>《事件管理程序》</w:t>
      </w:r>
    </w:p>
    <w:p w14:paraId="6BBD4E58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r>
        <w:t>《问题管理程序》</w:t>
      </w:r>
    </w:p>
    <w:p w14:paraId="5D5E5096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r>
        <w:t>《变更管理程序》</w:t>
      </w:r>
    </w:p>
    <w:p w14:paraId="1FA03B8E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r>
        <w:t>《服务可用性和连续性管理制度》</w:t>
      </w:r>
    </w:p>
    <w:p w14:paraId="09A48D2B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r>
        <w:t>《信息安全管理程序》</w:t>
      </w:r>
    </w:p>
    <w:p w14:paraId="19FC8600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r>
        <w:t>《服务交付规范》</w:t>
      </w:r>
    </w:p>
    <w:p w14:paraId="62B0402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74EECAAF"/>
    <w:multiLevelType w:val="singleLevel"/>
    <w:tmpl w:val="74EECA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0E5D71"/>
    <w:rsid w:val="007958E0"/>
    <w:rsid w:val="019404F8"/>
    <w:rsid w:val="01FB4914"/>
    <w:rsid w:val="02FC0103"/>
    <w:rsid w:val="053A4F12"/>
    <w:rsid w:val="056C5A14"/>
    <w:rsid w:val="06281FAE"/>
    <w:rsid w:val="07C17B6D"/>
    <w:rsid w:val="09436A8B"/>
    <w:rsid w:val="09F14739"/>
    <w:rsid w:val="0C3F0906"/>
    <w:rsid w:val="0DC22523"/>
    <w:rsid w:val="0E032C8D"/>
    <w:rsid w:val="0ED2440E"/>
    <w:rsid w:val="10707D4D"/>
    <w:rsid w:val="1202325C"/>
    <w:rsid w:val="12A51A90"/>
    <w:rsid w:val="12D44BF8"/>
    <w:rsid w:val="136717CF"/>
    <w:rsid w:val="14086F4E"/>
    <w:rsid w:val="14656E95"/>
    <w:rsid w:val="14823F15"/>
    <w:rsid w:val="15B14D7D"/>
    <w:rsid w:val="166D15EC"/>
    <w:rsid w:val="17147CB9"/>
    <w:rsid w:val="17182E0B"/>
    <w:rsid w:val="17884203"/>
    <w:rsid w:val="1BF8397F"/>
    <w:rsid w:val="1C0A51E7"/>
    <w:rsid w:val="1C8C6544"/>
    <w:rsid w:val="1CB33715"/>
    <w:rsid w:val="1CDD6D9F"/>
    <w:rsid w:val="1D37025D"/>
    <w:rsid w:val="1EB36FD8"/>
    <w:rsid w:val="1F1E6826"/>
    <w:rsid w:val="1F7D05CB"/>
    <w:rsid w:val="1F8C1635"/>
    <w:rsid w:val="1FC74B80"/>
    <w:rsid w:val="204230BC"/>
    <w:rsid w:val="20CF4C51"/>
    <w:rsid w:val="223F4735"/>
    <w:rsid w:val="24062738"/>
    <w:rsid w:val="24B34FD0"/>
    <w:rsid w:val="25972DB8"/>
    <w:rsid w:val="260B7142"/>
    <w:rsid w:val="26A14AA0"/>
    <w:rsid w:val="26AD37C8"/>
    <w:rsid w:val="27184D07"/>
    <w:rsid w:val="279614A0"/>
    <w:rsid w:val="279C4AC3"/>
    <w:rsid w:val="27B16201"/>
    <w:rsid w:val="28812CD5"/>
    <w:rsid w:val="28A433F9"/>
    <w:rsid w:val="2B5249DF"/>
    <w:rsid w:val="2D587F04"/>
    <w:rsid w:val="2D8C49F8"/>
    <w:rsid w:val="2F656CE0"/>
    <w:rsid w:val="2F7E68C4"/>
    <w:rsid w:val="314825E1"/>
    <w:rsid w:val="336734FA"/>
    <w:rsid w:val="341B4A8C"/>
    <w:rsid w:val="35547ED1"/>
    <w:rsid w:val="35A81D96"/>
    <w:rsid w:val="35CE6E2D"/>
    <w:rsid w:val="381C6576"/>
    <w:rsid w:val="3A4640E7"/>
    <w:rsid w:val="3AC01FE9"/>
    <w:rsid w:val="3B6E0026"/>
    <w:rsid w:val="3C5417B3"/>
    <w:rsid w:val="3CD14212"/>
    <w:rsid w:val="3D412847"/>
    <w:rsid w:val="3E6E73FF"/>
    <w:rsid w:val="3E882AD3"/>
    <w:rsid w:val="434F5A51"/>
    <w:rsid w:val="46377F79"/>
    <w:rsid w:val="46DC68AA"/>
    <w:rsid w:val="488153A5"/>
    <w:rsid w:val="490C7F41"/>
    <w:rsid w:val="4A500D61"/>
    <w:rsid w:val="4A866162"/>
    <w:rsid w:val="4AF65855"/>
    <w:rsid w:val="4B392A08"/>
    <w:rsid w:val="4C454224"/>
    <w:rsid w:val="4C6205A3"/>
    <w:rsid w:val="4E017CEB"/>
    <w:rsid w:val="4E263853"/>
    <w:rsid w:val="4E2A60C0"/>
    <w:rsid w:val="4E9407BC"/>
    <w:rsid w:val="50854FFE"/>
    <w:rsid w:val="5371731E"/>
    <w:rsid w:val="53AE40CE"/>
    <w:rsid w:val="53B611D5"/>
    <w:rsid w:val="558A46C7"/>
    <w:rsid w:val="56130B60"/>
    <w:rsid w:val="58A7364B"/>
    <w:rsid w:val="58D2085F"/>
    <w:rsid w:val="59723DF0"/>
    <w:rsid w:val="59DA3FFD"/>
    <w:rsid w:val="5B516BD5"/>
    <w:rsid w:val="5C4856E9"/>
    <w:rsid w:val="5D3A2E77"/>
    <w:rsid w:val="5D535CE6"/>
    <w:rsid w:val="5E180BAB"/>
    <w:rsid w:val="5EA507C4"/>
    <w:rsid w:val="5EF332DD"/>
    <w:rsid w:val="5FA62A45"/>
    <w:rsid w:val="5FE12648"/>
    <w:rsid w:val="6477050C"/>
    <w:rsid w:val="64AB37B1"/>
    <w:rsid w:val="64BC3C03"/>
    <w:rsid w:val="671424F9"/>
    <w:rsid w:val="679B1F3D"/>
    <w:rsid w:val="6A3B3D8A"/>
    <w:rsid w:val="6A6E6E1D"/>
    <w:rsid w:val="6B9B2D32"/>
    <w:rsid w:val="6C79627B"/>
    <w:rsid w:val="6EBF3899"/>
    <w:rsid w:val="6EE8765A"/>
    <w:rsid w:val="6EFC61DE"/>
    <w:rsid w:val="704240C4"/>
    <w:rsid w:val="73927111"/>
    <w:rsid w:val="751628A1"/>
    <w:rsid w:val="758E56B6"/>
    <w:rsid w:val="75CB690A"/>
    <w:rsid w:val="764322BB"/>
    <w:rsid w:val="784A0269"/>
    <w:rsid w:val="787B46C6"/>
    <w:rsid w:val="79860C21"/>
    <w:rsid w:val="7B264EA2"/>
    <w:rsid w:val="7BC556F2"/>
    <w:rsid w:val="7DA365CB"/>
    <w:rsid w:val="7E720349"/>
    <w:rsid w:val="7E741A6A"/>
    <w:rsid w:val="7F954211"/>
    <w:rsid w:val="7FF1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1508</Words>
  <Characters>1756</Characters>
  <Lines>0</Lines>
  <Paragraphs>0</Paragraphs>
  <TotalTime>1</TotalTime>
  <ScaleCrop>false</ScaleCrop>
  <LinksUpToDate>false</LinksUpToDate>
  <CharactersWithSpaces>1975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2026-03-31T08:29:16Z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