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6E4EB">
      <w:pPr>
        <w:spacing w:before="173" w:line="218" w:lineRule="auto"/>
        <w:ind w:left="3669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不符合项报告</w:t>
      </w:r>
    </w:p>
    <w:p w14:paraId="675CA9B6">
      <w:pPr>
        <w:spacing w:line="105" w:lineRule="exact"/>
      </w:pPr>
    </w:p>
    <w:tbl>
      <w:tblPr>
        <w:tblStyle w:val="24"/>
        <w:tblW w:w="90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527"/>
        <w:gridCol w:w="597"/>
        <w:gridCol w:w="1740"/>
        <w:gridCol w:w="1417"/>
        <w:gridCol w:w="333"/>
        <w:gridCol w:w="969"/>
        <w:gridCol w:w="590"/>
        <w:gridCol w:w="1988"/>
      </w:tblGrid>
      <w:tr w14:paraId="658AB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58" w:type="dxa"/>
            <w:gridSpan w:val="3"/>
          </w:tcPr>
          <w:p w14:paraId="7B604898">
            <w:pPr>
              <w:pStyle w:val="25"/>
              <w:spacing w:before="94" w:line="220" w:lineRule="auto"/>
              <w:ind w:left="510"/>
            </w:pPr>
            <w:r>
              <w:rPr>
                <w:spacing w:val="-2"/>
              </w:rPr>
              <w:t>受审核部门</w:t>
            </w:r>
          </w:p>
        </w:tc>
        <w:tc>
          <w:tcPr>
            <w:tcW w:w="3157" w:type="dxa"/>
            <w:gridSpan w:val="2"/>
          </w:tcPr>
          <w:p w14:paraId="764D4B56">
            <w:pPr>
              <w:pStyle w:val="25"/>
              <w:spacing w:before="94" w:line="220" w:lineRule="auto"/>
              <w:ind w:left="938"/>
            </w:pPr>
            <w:r>
              <w:rPr>
                <w:spacing w:val="-2"/>
              </w:rPr>
              <w:t>运维部</w:t>
            </w:r>
          </w:p>
        </w:tc>
        <w:tc>
          <w:tcPr>
            <w:tcW w:w="1892" w:type="dxa"/>
            <w:gridSpan w:val="3"/>
          </w:tcPr>
          <w:p w14:paraId="718411B2">
            <w:pPr>
              <w:pStyle w:val="25"/>
              <w:spacing w:before="95" w:line="220" w:lineRule="auto"/>
              <w:ind w:left="660"/>
            </w:pPr>
            <w:r>
              <w:rPr>
                <w:spacing w:val="-4"/>
              </w:rPr>
              <w:t>审核日期</w:t>
            </w:r>
          </w:p>
        </w:tc>
        <w:tc>
          <w:tcPr>
            <w:tcW w:w="1988" w:type="dxa"/>
          </w:tcPr>
          <w:p w14:paraId="1CBAFF36">
            <w:pPr>
              <w:pStyle w:val="25"/>
              <w:spacing w:before="124" w:line="225" w:lineRule="auto"/>
              <w:ind w:left="525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 w14:paraId="413FD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058" w:type="dxa"/>
            <w:gridSpan w:val="3"/>
          </w:tcPr>
          <w:p w14:paraId="1234E48F">
            <w:pPr>
              <w:pStyle w:val="25"/>
              <w:spacing w:before="203" w:line="220" w:lineRule="auto"/>
              <w:ind w:left="621"/>
            </w:pPr>
            <w:r>
              <w:rPr>
                <w:spacing w:val="-4"/>
              </w:rPr>
              <w:t>审核组员</w:t>
            </w:r>
          </w:p>
        </w:tc>
        <w:tc>
          <w:tcPr>
            <w:tcW w:w="3157" w:type="dxa"/>
            <w:gridSpan w:val="2"/>
          </w:tcPr>
          <w:p w14:paraId="71F7BC31">
            <w:pPr>
              <w:pStyle w:val="25"/>
              <w:spacing w:before="63" w:line="274" w:lineRule="auto"/>
              <w:ind w:right="214"/>
            </w:pPr>
            <w:r>
              <w:t>魏娜杉</w:t>
            </w:r>
          </w:p>
        </w:tc>
        <w:tc>
          <w:tcPr>
            <w:tcW w:w="1892" w:type="dxa"/>
            <w:gridSpan w:val="3"/>
          </w:tcPr>
          <w:p w14:paraId="7CA0A477">
            <w:pPr>
              <w:pStyle w:val="25"/>
              <w:spacing w:before="203" w:line="221" w:lineRule="auto"/>
              <w:ind w:left="862"/>
            </w:pPr>
            <w:r>
              <w:rPr>
                <w:spacing w:val="-3"/>
              </w:rPr>
              <w:t>备注</w:t>
            </w:r>
          </w:p>
        </w:tc>
        <w:tc>
          <w:tcPr>
            <w:tcW w:w="1988" w:type="dxa"/>
          </w:tcPr>
          <w:p w14:paraId="1E2D8D8F">
            <w:pPr>
              <w:ind w:firstLine="1050" w:firstLineChars="500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/</w:t>
            </w:r>
          </w:p>
        </w:tc>
      </w:tr>
      <w:tr w14:paraId="190D6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8" w:hRule="atLeast"/>
        </w:trPr>
        <w:tc>
          <w:tcPr>
            <w:tcW w:w="9095" w:type="dxa"/>
            <w:gridSpan w:val="9"/>
          </w:tcPr>
          <w:p w14:paraId="6FF5DEC3">
            <w:r>
              <w:t>不符合事实陈述：</w:t>
            </w:r>
          </w:p>
          <w:p w14:paraId="6063A323">
            <w:r>
              <w:rPr>
                <w:spacing w:val="9"/>
              </w:rPr>
              <w:t>查看并访谈运维服务负责人，未见运维工具效果的自评估记录信息。</w:t>
            </w:r>
          </w:p>
          <w:p w14:paraId="65BA9169">
            <w:pPr>
              <w:rPr>
                <w:rFonts w:hint="eastAsia" w:eastAsia="宋体"/>
                <w:lang w:val="en-US" w:eastAsia="zh-CN"/>
              </w:rPr>
            </w:pPr>
            <w:r>
              <w:t>审核员：  魏娜杉</w:t>
            </w:r>
          </w:p>
          <w:p w14:paraId="4C3E4E45">
            <w:r>
              <w:t>责任人确认：</w:t>
            </w:r>
            <w:r>
              <w:rPr>
                <w:rFonts w:hint="eastAsia"/>
                <w:lang w:val="en-US" w:eastAsia="zh-CN"/>
              </w:rPr>
              <w:t>刘禹</w:t>
            </w:r>
          </w:p>
        </w:tc>
      </w:tr>
      <w:tr w14:paraId="559B6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1461" w:type="dxa"/>
            <w:gridSpan w:val="2"/>
          </w:tcPr>
          <w:p w14:paraId="6A98C3E4">
            <w:pPr>
              <w:pStyle w:val="25"/>
              <w:spacing w:before="262" w:line="220" w:lineRule="auto"/>
              <w:ind w:left="420"/>
            </w:pPr>
            <w:r>
              <w:rPr>
                <w:spacing w:val="-3"/>
              </w:rPr>
              <w:t>不符合</w:t>
            </w:r>
          </w:p>
        </w:tc>
        <w:tc>
          <w:tcPr>
            <w:tcW w:w="7634" w:type="dxa"/>
            <w:gridSpan w:val="7"/>
          </w:tcPr>
          <w:p w14:paraId="7F169993">
            <w:pPr>
              <w:bidi w:val="0"/>
            </w:pPr>
            <w:r>
              <w:rPr>
                <w:rFonts w:hint="eastAsia"/>
                <w:lang w:val="en-US" w:eastAsia="zh-CN"/>
              </w:rPr>
              <w:t>不符合TCESA1299-2023《信息技术服务 运行维护服务能力成熟度模型》标准 7.6.1 运维工具要求。</w:t>
            </w:r>
          </w:p>
        </w:tc>
      </w:tr>
      <w:tr w14:paraId="52857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461" w:type="dxa"/>
            <w:gridSpan w:val="2"/>
          </w:tcPr>
          <w:p w14:paraId="2F6639FD">
            <w:pPr>
              <w:pStyle w:val="25"/>
              <w:spacing w:before="107" w:line="220" w:lineRule="auto"/>
              <w:ind w:left="313"/>
            </w:pPr>
            <w:r>
              <w:rPr>
                <w:spacing w:val="-2"/>
              </w:rPr>
              <w:t>严重程度</w:t>
            </w:r>
          </w:p>
        </w:tc>
        <w:tc>
          <w:tcPr>
            <w:tcW w:w="2337" w:type="dxa"/>
            <w:gridSpan w:val="2"/>
          </w:tcPr>
          <w:p w14:paraId="5C250060">
            <w:pPr>
              <w:pStyle w:val="25"/>
              <w:spacing w:before="106" w:line="220" w:lineRule="auto"/>
              <w:ind w:left="141"/>
            </w:pPr>
            <w:r>
              <w:rPr>
                <w:spacing w:val="-14"/>
              </w:rPr>
              <w:t>□严重</w:t>
            </w:r>
            <w:r>
              <w:rPr>
                <w:spacing w:val="65"/>
              </w:rPr>
              <w:t xml:space="preserve"> </w:t>
            </w:r>
            <w:r>
              <w:rPr>
                <w:spacing w:val="-14"/>
              </w:rPr>
              <w:t>√一般</w:t>
            </w:r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□轻微</w:t>
            </w:r>
          </w:p>
        </w:tc>
        <w:tc>
          <w:tcPr>
            <w:tcW w:w="2719" w:type="dxa"/>
            <w:gridSpan w:val="3"/>
          </w:tcPr>
          <w:p w14:paraId="1ECAC809">
            <w:pPr>
              <w:pStyle w:val="25"/>
              <w:spacing w:before="106" w:line="220" w:lineRule="auto"/>
              <w:ind w:left="315"/>
            </w:pPr>
            <w:r>
              <w:rPr>
                <w:spacing w:val="-1"/>
              </w:rPr>
              <w:t>要求纠正措施完成日期</w:t>
            </w:r>
          </w:p>
        </w:tc>
        <w:tc>
          <w:tcPr>
            <w:tcW w:w="2578" w:type="dxa"/>
            <w:gridSpan w:val="2"/>
          </w:tcPr>
          <w:p w14:paraId="39D7DD51">
            <w:pPr>
              <w:pStyle w:val="25"/>
              <w:spacing w:before="136" w:line="225" w:lineRule="auto"/>
              <w:ind w:left="820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 w14:paraId="5C395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9095" w:type="dxa"/>
            <w:gridSpan w:val="9"/>
          </w:tcPr>
          <w:p w14:paraId="6B666883">
            <w:pPr>
              <w:bidi w:val="0"/>
            </w:pPr>
            <w:r>
              <w:t>对不符合的处置：</w:t>
            </w:r>
          </w:p>
          <w:p w14:paraId="446DD6EA">
            <w:pPr>
              <w:bidi w:val="0"/>
            </w:pPr>
            <w:r>
              <w:t>补充记录单</w:t>
            </w:r>
          </w:p>
          <w:p w14:paraId="0DB49A74">
            <w:pPr>
              <w:bidi w:val="0"/>
            </w:pPr>
            <w:r>
              <w:t>部门承诺完成时间：2025年</w:t>
            </w:r>
            <w:r>
              <w:rPr>
                <w:rFonts w:hint="eastAsia"/>
                <w:lang w:val="en-US" w:eastAsia="zh-CN"/>
              </w:rPr>
              <w:t>12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t xml:space="preserve">日        责任人确认： </w:t>
            </w:r>
            <w:r>
              <w:rPr>
                <w:rFonts w:hint="eastAsia"/>
                <w:lang w:val="en-US" w:eastAsia="zh-CN"/>
              </w:rPr>
              <w:t>刘禹</w:t>
            </w:r>
          </w:p>
        </w:tc>
      </w:tr>
      <w:tr w14:paraId="096E18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3" w:hRule="atLeast"/>
        </w:trPr>
        <w:tc>
          <w:tcPr>
            <w:tcW w:w="9095" w:type="dxa"/>
            <w:gridSpan w:val="9"/>
          </w:tcPr>
          <w:p w14:paraId="16DFA158">
            <w:pPr>
              <w:pStyle w:val="25"/>
              <w:spacing w:before="52" w:line="220" w:lineRule="auto"/>
              <w:ind w:left="114"/>
            </w:pPr>
            <w:r>
              <w:rPr>
                <w:spacing w:val="-7"/>
              </w:rPr>
              <w:t>不符合原因分析：</w:t>
            </w:r>
          </w:p>
          <w:p w14:paraId="434CDF28">
            <w:pPr>
              <w:pStyle w:val="25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266A940D">
            <w:pPr>
              <w:pStyle w:val="25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7EC69AE3">
            <w:pPr>
              <w:pStyle w:val="25"/>
              <w:spacing w:before="62" w:line="219" w:lineRule="auto"/>
              <w:ind w:left="111"/>
            </w:pPr>
          </w:p>
        </w:tc>
      </w:tr>
      <w:tr w14:paraId="4A93C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 w:hRule="atLeast"/>
        </w:trPr>
        <w:tc>
          <w:tcPr>
            <w:tcW w:w="9095" w:type="dxa"/>
            <w:gridSpan w:val="9"/>
          </w:tcPr>
          <w:p w14:paraId="7EA35C8D">
            <w:pPr>
              <w:pStyle w:val="25"/>
              <w:spacing w:before="55" w:line="219" w:lineRule="auto"/>
              <w:ind w:left="111"/>
            </w:pPr>
            <w:r>
              <w:rPr>
                <w:spacing w:val="-4"/>
              </w:rPr>
              <w:t>针对原因采取的防止再发生的措施：</w:t>
            </w:r>
          </w:p>
          <w:p w14:paraId="6B7F4376">
            <w:pPr>
              <w:pStyle w:val="25"/>
              <w:spacing w:before="202" w:line="226" w:lineRule="auto"/>
              <w:ind w:left="324"/>
              <w:rPr>
                <w:rFonts w:ascii="Arial"/>
                <w:sz w:val="21"/>
              </w:rPr>
            </w:pPr>
            <w:r>
              <w:rPr>
                <w:spacing w:val="7"/>
              </w:rPr>
              <w:t>补充对运维工具的自评估记录，见《运维工具使用效果自评估报告》。</w:t>
            </w:r>
            <w:bookmarkStart w:id="0" w:name="_GoBack"/>
            <w:bookmarkEnd w:id="0"/>
          </w:p>
          <w:p w14:paraId="0DE301AA">
            <w:pPr>
              <w:pStyle w:val="25"/>
              <w:spacing w:before="68" w:line="220" w:lineRule="auto"/>
              <w:ind w:left="4318"/>
            </w:pPr>
            <w:r>
              <w:rPr>
                <w:spacing w:val="-4"/>
              </w:rPr>
              <w:t>责任人：</w:t>
            </w:r>
            <w:r>
              <w:rPr>
                <w:rFonts w:hint="eastAsia"/>
                <w:lang w:val="en-US" w:eastAsia="zh-CN"/>
              </w:rPr>
              <w:t>刘禹</w:t>
            </w:r>
            <w:r>
              <w:rPr>
                <w:spacing w:val="-4"/>
              </w:rPr>
              <w:t xml:space="preserve">     2025年</w:t>
            </w:r>
            <w:r>
              <w:rPr>
                <w:rFonts w:hint="eastAsia"/>
                <w:spacing w:val="-4"/>
                <w:lang w:val="en-US" w:eastAsia="zh-CN"/>
              </w:rPr>
              <w:t>12</w:t>
            </w:r>
            <w:r>
              <w:rPr>
                <w:spacing w:val="-4"/>
              </w:rPr>
              <w:t>月</w:t>
            </w:r>
            <w:r>
              <w:rPr>
                <w:rFonts w:hint="eastAsia"/>
                <w:spacing w:val="-4"/>
                <w:lang w:val="en-US" w:eastAsia="zh-CN"/>
              </w:rPr>
              <w:t>16</w:t>
            </w:r>
            <w:r>
              <w:rPr>
                <w:spacing w:val="-4"/>
              </w:rPr>
              <w:t>日</w:t>
            </w:r>
          </w:p>
        </w:tc>
      </w:tr>
      <w:tr w14:paraId="54AE3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9095" w:type="dxa"/>
            <w:gridSpan w:val="9"/>
          </w:tcPr>
          <w:p w14:paraId="136DA134">
            <w:pPr>
              <w:pStyle w:val="25"/>
              <w:spacing w:before="56" w:line="220" w:lineRule="auto"/>
              <w:ind w:left="116"/>
            </w:pPr>
            <w:r>
              <w:rPr>
                <w:spacing w:val="-7"/>
              </w:rPr>
              <w:t>纠正措施完成情况：</w:t>
            </w:r>
          </w:p>
          <w:p w14:paraId="6B6CFF73">
            <w:pPr>
              <w:pStyle w:val="25"/>
              <w:spacing w:before="61" w:line="220" w:lineRule="auto"/>
              <w:ind w:left="659"/>
            </w:pPr>
            <w:r>
              <w:rPr>
                <w:spacing w:val="-11"/>
              </w:rPr>
              <w:t>已修改！</w:t>
            </w:r>
          </w:p>
          <w:p w14:paraId="6FB6190B">
            <w:pPr>
              <w:spacing w:line="304" w:lineRule="auto"/>
              <w:rPr>
                <w:rFonts w:ascii="Arial"/>
                <w:sz w:val="21"/>
              </w:rPr>
            </w:pPr>
          </w:p>
          <w:p w14:paraId="2E6FE18C">
            <w:pPr>
              <w:pStyle w:val="25"/>
              <w:spacing w:before="68" w:line="214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验证人员：</w:t>
            </w:r>
            <w:r>
              <w:t>魏娜杉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"/>
              </w:rPr>
              <w:t xml:space="preserve">          </w:t>
            </w:r>
            <w:r>
              <w:rPr>
                <w:spacing w:val="-3"/>
              </w:rPr>
              <w:t>日期：2025/</w:t>
            </w:r>
            <w:r>
              <w:rPr>
                <w:rFonts w:hint="eastAsia"/>
                <w:spacing w:val="-3"/>
                <w:lang w:val="en-US" w:eastAsia="zh-CN"/>
              </w:rPr>
              <w:t>12</w:t>
            </w:r>
            <w:r>
              <w:rPr>
                <w:spacing w:val="-3"/>
              </w:rPr>
              <w:t>/</w:t>
            </w:r>
            <w:r>
              <w:rPr>
                <w:rFonts w:hint="eastAsia"/>
                <w:spacing w:val="-3"/>
                <w:lang w:val="en-US" w:eastAsia="zh-CN"/>
              </w:rPr>
              <w:t>16</w:t>
            </w:r>
          </w:p>
        </w:tc>
      </w:tr>
      <w:tr w14:paraId="7E614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34" w:type="dxa"/>
            <w:vMerge w:val="restart"/>
            <w:tcBorders>
              <w:bottom w:val="nil"/>
            </w:tcBorders>
          </w:tcPr>
          <w:p w14:paraId="5A6F09C8">
            <w:pPr>
              <w:spacing w:line="281" w:lineRule="auto"/>
              <w:rPr>
                <w:rFonts w:ascii="Arial"/>
                <w:sz w:val="21"/>
              </w:rPr>
            </w:pPr>
          </w:p>
          <w:p w14:paraId="07620AC6">
            <w:pPr>
              <w:pStyle w:val="25"/>
              <w:spacing w:before="68" w:line="277" w:lineRule="auto"/>
              <w:ind w:left="256" w:right="253"/>
            </w:pPr>
            <w:r>
              <w:rPr>
                <w:spacing w:val="-4"/>
              </w:rPr>
              <w:t>验证跟踪</w:t>
            </w:r>
          </w:p>
        </w:tc>
        <w:tc>
          <w:tcPr>
            <w:tcW w:w="4614" w:type="dxa"/>
            <w:gridSpan w:val="5"/>
          </w:tcPr>
          <w:p w14:paraId="6B9D177D">
            <w:pPr>
              <w:pStyle w:val="25"/>
              <w:spacing w:before="100" w:line="220" w:lineRule="auto"/>
              <w:ind w:left="422"/>
            </w:pPr>
            <w:r>
              <w:rPr>
                <w:spacing w:val="-8"/>
              </w:rPr>
              <w:t>不符合处置是否有效</w:t>
            </w:r>
            <w:r>
              <w:rPr>
                <w:spacing w:val="7"/>
              </w:rPr>
              <w:t xml:space="preserve">        </w:t>
            </w:r>
            <w:r>
              <w:rPr>
                <w:spacing w:val="-8"/>
              </w:rPr>
              <w:t>√是</w:t>
            </w:r>
            <w:r>
              <w:rPr>
                <w:spacing w:val="17"/>
              </w:rPr>
              <w:t xml:space="preserve">  </w:t>
            </w:r>
            <w:r>
              <w:rPr>
                <w:spacing w:val="-8"/>
              </w:rPr>
              <w:t>□否</w:t>
            </w:r>
          </w:p>
        </w:tc>
        <w:tc>
          <w:tcPr>
            <w:tcW w:w="1559" w:type="dxa"/>
            <w:gridSpan w:val="2"/>
            <w:vMerge w:val="restart"/>
            <w:tcBorders>
              <w:bottom w:val="nil"/>
            </w:tcBorders>
          </w:tcPr>
          <w:p w14:paraId="1771D2BF">
            <w:pPr>
              <w:pStyle w:val="25"/>
              <w:spacing w:before="196" w:line="274" w:lineRule="auto"/>
              <w:ind w:left="312" w:right="246" w:firstLine="52"/>
            </w:pPr>
            <w:r>
              <w:rPr>
                <w:spacing w:val="-2"/>
              </w:rPr>
              <w:t>验证方式</w:t>
            </w:r>
            <w:r>
              <w:rPr>
                <w:spacing w:val="-12"/>
              </w:rPr>
              <w:t>√文件验证</w:t>
            </w:r>
          </w:p>
          <w:p w14:paraId="5B3E10E9">
            <w:pPr>
              <w:pStyle w:val="25"/>
              <w:spacing w:line="220" w:lineRule="auto"/>
              <w:ind w:left="282"/>
            </w:pPr>
            <w:r>
              <w:rPr>
                <w:spacing w:val="-6"/>
              </w:rPr>
              <w:t>□现场验证</w:t>
            </w:r>
          </w:p>
        </w:tc>
        <w:tc>
          <w:tcPr>
            <w:tcW w:w="1988" w:type="dxa"/>
            <w:vMerge w:val="restart"/>
            <w:tcBorders>
              <w:bottom w:val="nil"/>
            </w:tcBorders>
          </w:tcPr>
          <w:p w14:paraId="209F0DA0">
            <w:pPr>
              <w:spacing w:line="282" w:lineRule="auto"/>
              <w:rPr>
                <w:rFonts w:ascii="Arial"/>
                <w:sz w:val="21"/>
              </w:rPr>
            </w:pPr>
          </w:p>
          <w:p w14:paraId="144CD7BD">
            <w:pPr>
              <w:pStyle w:val="25"/>
              <w:spacing w:before="68" w:line="220" w:lineRule="auto"/>
              <w:ind w:left="263"/>
            </w:pPr>
            <w:r>
              <w:rPr>
                <w:spacing w:val="-1"/>
              </w:rPr>
              <w:t>验证人：</w:t>
            </w:r>
            <w:r>
              <w:t>魏娜杉</w:t>
            </w:r>
          </w:p>
          <w:p w14:paraId="7E8C31A2">
            <w:pPr>
              <w:pStyle w:val="25"/>
              <w:spacing w:before="60" w:line="220" w:lineRule="auto"/>
              <w:ind w:left="188"/>
            </w:pPr>
            <w:r>
              <w:rPr>
                <w:spacing w:val="-8"/>
              </w:rPr>
              <w:t>2025年</w:t>
            </w:r>
            <w:r>
              <w:rPr>
                <w:rFonts w:hint="eastAsia"/>
                <w:spacing w:val="-8"/>
                <w:lang w:val="en-US" w:eastAsia="zh-CN"/>
              </w:rPr>
              <w:t>10</w:t>
            </w:r>
            <w:r>
              <w:rPr>
                <w:spacing w:val="-8"/>
              </w:rPr>
              <w:t>月</w:t>
            </w:r>
            <w:r>
              <w:rPr>
                <w:rFonts w:hint="eastAsia"/>
                <w:spacing w:val="-8"/>
                <w:lang w:val="en-US" w:eastAsia="zh-CN"/>
              </w:rPr>
              <w:t>16</w:t>
            </w:r>
            <w:r>
              <w:rPr>
                <w:spacing w:val="-8"/>
              </w:rPr>
              <w:t>日</w:t>
            </w:r>
          </w:p>
        </w:tc>
      </w:tr>
      <w:tr w14:paraId="3040D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34" w:type="dxa"/>
            <w:vMerge w:val="continue"/>
            <w:tcBorders>
              <w:top w:val="nil"/>
              <w:bottom w:val="nil"/>
            </w:tcBorders>
          </w:tcPr>
          <w:p w14:paraId="2E002DB8"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 w14:paraId="0A12FAC5">
            <w:pPr>
              <w:pStyle w:val="25"/>
              <w:spacing w:before="101" w:line="220" w:lineRule="auto"/>
              <w:ind w:left="424"/>
            </w:pPr>
            <w:r>
              <w:rPr>
                <w:spacing w:val="-7"/>
              </w:rPr>
              <w:t>原因分析是否正确           √是</w:t>
            </w:r>
            <w:r>
              <w:rPr>
                <w:spacing w:val="20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 w:val="continue"/>
            <w:tcBorders>
              <w:top w:val="nil"/>
              <w:bottom w:val="nil"/>
            </w:tcBorders>
          </w:tcPr>
          <w:p w14:paraId="1DEB418C"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 w:val="continue"/>
            <w:tcBorders>
              <w:top w:val="nil"/>
              <w:bottom w:val="nil"/>
            </w:tcBorders>
          </w:tcPr>
          <w:p w14:paraId="6ECDA2EE">
            <w:pPr>
              <w:rPr>
                <w:rFonts w:ascii="Arial"/>
                <w:sz w:val="21"/>
              </w:rPr>
            </w:pPr>
          </w:p>
        </w:tc>
      </w:tr>
      <w:tr w14:paraId="1F18C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34" w:type="dxa"/>
            <w:vMerge w:val="continue"/>
            <w:tcBorders>
              <w:top w:val="nil"/>
            </w:tcBorders>
          </w:tcPr>
          <w:p w14:paraId="181CDD99"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 w14:paraId="5C8878A1">
            <w:pPr>
              <w:pStyle w:val="25"/>
              <w:spacing w:before="101" w:line="220" w:lineRule="auto"/>
              <w:ind w:left="432"/>
            </w:pPr>
            <w:r>
              <w:rPr>
                <w:spacing w:val="-7"/>
              </w:rPr>
              <w:t>防止再发生的措施是否有效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√是</w:t>
            </w:r>
            <w:r>
              <w:rPr>
                <w:spacing w:val="15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 w:val="continue"/>
            <w:tcBorders>
              <w:top w:val="nil"/>
            </w:tcBorders>
          </w:tcPr>
          <w:p w14:paraId="253A74A4"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 w:val="continue"/>
            <w:tcBorders>
              <w:top w:val="nil"/>
            </w:tcBorders>
          </w:tcPr>
          <w:p w14:paraId="23E1808B">
            <w:pPr>
              <w:rPr>
                <w:rFonts w:ascii="Arial"/>
                <w:sz w:val="21"/>
              </w:rPr>
            </w:pPr>
          </w:p>
        </w:tc>
      </w:tr>
    </w:tbl>
    <w:p w14:paraId="3F477737">
      <w:pPr>
        <w:rPr>
          <w:rFonts w:ascii="Arial"/>
          <w:sz w:val="21"/>
        </w:rPr>
      </w:pPr>
    </w:p>
    <w:sectPr>
      <w:pgSz w:w="11906" w:h="16839"/>
      <w:pgMar w:top="1431" w:right="1400" w:bottom="0" w:left="14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D074CA"/>
    <w:rsid w:val="05EB6551"/>
    <w:rsid w:val="09B47989"/>
    <w:rsid w:val="09EF63D8"/>
    <w:rsid w:val="0F706100"/>
    <w:rsid w:val="11B36778"/>
    <w:rsid w:val="1E8079E2"/>
    <w:rsid w:val="2CC22BD3"/>
    <w:rsid w:val="32195D2C"/>
    <w:rsid w:val="36C505C0"/>
    <w:rsid w:val="3AD07218"/>
    <w:rsid w:val="3DE141B8"/>
    <w:rsid w:val="41BC5D72"/>
    <w:rsid w:val="421B789E"/>
    <w:rsid w:val="48C11FF5"/>
    <w:rsid w:val="4B2B4BFE"/>
    <w:rsid w:val="50CA7C23"/>
    <w:rsid w:val="5EA06D09"/>
    <w:rsid w:val="6089214B"/>
    <w:rsid w:val="65CD56C0"/>
    <w:rsid w:val="66E27F92"/>
    <w:rsid w:val="6C824369"/>
    <w:rsid w:val="6DDC5A7F"/>
    <w:rsid w:val="6DFF1F95"/>
    <w:rsid w:val="6F0E01E9"/>
    <w:rsid w:val="6F0E3943"/>
    <w:rsid w:val="73410663"/>
    <w:rsid w:val="76805946"/>
    <w:rsid w:val="7E613C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394</Words>
  <Characters>471</Characters>
  <Lines>0</Lines>
  <Paragraphs>0</Paragraphs>
  <TotalTime>0</TotalTime>
  <ScaleCrop>false</ScaleCrop>
  <LinksUpToDate>false</LinksUpToDate>
  <CharactersWithSpaces>556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2025-08-17T00:37:00Z</dcterms:created>
  <dc:creator>caixia</dc:creator>
  <cp:lastModifiedBy>郝宇</cp:lastModifiedBy>
  <dcterms:modified xsi:type="dcterms:W3CDTF">2026-04-03T15:03:54Z</dcterms:modified>
  <dc:title>机务验收环境搭建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2025-08-21T00:40:26Z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2B45DADA1CDC460A881B01C858901286_12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