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</w:t>
      </w:r>
      <w:bookmarkStart w:id="32" w:name="_GoBack"/>
      <w:bookmarkEnd w:id="32"/>
      <w:r>
        <w:rPr>
          <w:rFonts w:hint="eastAsia"/>
          <w:lang w:val="en-US" w:eastAsia="zh-CN"/>
        </w:rPr>
        <w:t>实施计划</w:t>
      </w:r>
    </w:p>
    <w:p w14:paraId="0758B27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TJTY-ITSS-0903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3721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_Toc15276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CB524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_Toc16132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_Toc16132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0CD8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_Toc28557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B750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_Toc18867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_Toc18867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A9D4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727E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_Toc2383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BE7E7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_Toc4819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1B07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_Toc18348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1ECF2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_Toc27043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D396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_Toc25647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C6CF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_Toc11624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7204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_Toc22675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5077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_Toc28222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C2C2C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 xml:space="preserve">4.1.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人员资源</w:t>
          </w:r>
          <w:r>
            <w:tab/>
          </w:r>
          <w:r>
            <w:fldChar w:fldCharType="begin"/>
          </w:r>
          <w:r>
            <w:instrText xml:space="preserve"> PAGEREF _Toc9389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4BF85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_Toc9278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 xml:space="preserve">4.2.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硬件资源</w:t>
          </w:r>
          <w:r>
            <w:tab/>
          </w:r>
          <w:r>
            <w:fldChar w:fldCharType="begin"/>
          </w:r>
          <w:r>
            <w:instrText xml:space="preserve"> PAGEREF _Toc9278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F846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_Toc24927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 xml:space="preserve">4.3.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  <w:lang w:val="en-US" w:eastAsia="zh-CN"/>
            </w:rPr>
            <w:t>软件资源</w:t>
          </w:r>
          <w:r>
            <w:tab/>
          </w:r>
          <w:r>
            <w:fldChar w:fldCharType="begin"/>
          </w:r>
          <w:r>
            <w:instrText xml:space="preserve"> PAGEREF _Toc24927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E6575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D550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A47F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_Toc3168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57EC1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E7C17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A6465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_Toc13395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1964B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BAD04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_Toc16208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_Toc16208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1CCA2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_Toc25204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_Toc25204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0BCB7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_Toc28063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_Toc28063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242F5D">
      <w:pPr>
        <w:pStyle w:val="31"/>
        <w:bidi w:val="0"/>
      </w:pPr>
      <w:bookmarkStart w:id="1" w:name="heading_2"/>
      <w:bookmarkStart w:id="2" w:name="_Toc15276"/>
      <w:r>
        <w:t>计划概述</w:t>
      </w:r>
      <w:bookmarkEnd w:id="1"/>
      <w:bookmarkEnd w:id="2"/>
    </w:p>
    <w:p w14:paraId="2BD6F915">
      <w:pPr>
        <w:pStyle w:val="33"/>
        <w:bidi w:val="0"/>
      </w:pPr>
      <w:bookmarkStart w:id="3" w:name="heading_3"/>
      <w:bookmarkStart w:id="4" w:name="_Toc16132"/>
      <w:r>
        <w:t>计划基本信息</w:t>
      </w:r>
      <w:bookmarkEnd w:id="3"/>
      <w:bookmarkEnd w:id="4"/>
    </w:p>
    <w:p w14:paraId="10173C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30342"/>
      <w:bookmarkStart w:id="6" w:name="_Toc1925"/>
      <w:bookmarkStart w:id="7" w:name="_Toc16208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 w14:paraId="7A5DBC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50C4F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06EFC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87337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C1249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39CF2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企业门店ERP统一管理系统</w:t>
            </w:r>
          </w:p>
        </w:tc>
      </w:tr>
      <w:tr w14:paraId="1D2E44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78948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C25A5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9周（约2个月）</w:t>
            </w:r>
          </w:p>
        </w:tc>
      </w:tr>
      <w:tr w14:paraId="5C6009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73E3D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734C2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合同生效后第1周</w:t>
            </w:r>
          </w:p>
        </w:tc>
      </w:tr>
      <w:tr w14:paraId="505CD7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5BE6B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计划结束日期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F5696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合同生效后第9周</w:t>
            </w:r>
          </w:p>
        </w:tc>
      </w:tr>
      <w:tr w14:paraId="0EA43D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4D0E3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D7E5B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</w:tr>
    </w:tbl>
    <w:p w14:paraId="38D8B79B">
      <w:pPr>
        <w:pStyle w:val="33"/>
        <w:bidi w:val="0"/>
      </w:pPr>
      <w:bookmarkStart w:id="8" w:name="_Toc28557"/>
      <w:bookmarkStart w:id="9" w:name="heading_4"/>
      <w:r>
        <w:rPr>
          <w:rFonts w:hint="eastAsia"/>
          <w:lang w:val="en-US" w:eastAsia="zh-CN"/>
        </w:rPr>
        <w:t>年度工作目标</w:t>
      </w:r>
      <w:bookmarkEnd w:id="8"/>
    </w:p>
    <w:p w14:paraId="65043F63">
      <w:pPr>
        <w:pStyle w:val="3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ERP系统在合同生效后第14周内正式投入运行，系统功能完整实现合同约定的各项业务需求。</w:t>
      </w:r>
    </w:p>
    <w:p w14:paraId="66D8D9A2">
      <w:pPr>
        <w:pStyle w:val="32"/>
        <w:rPr>
          <w:rFonts w:hint="eastAsia"/>
        </w:rPr>
      </w:pPr>
      <w:r>
        <w:rPr>
          <w:rFonts w:hint="eastAsia"/>
        </w:rPr>
        <w:t>系统上线后进入正式运维阶段，全年保障ERP系统可用性达到99.5%以上，全年计划内维护和计划外故障导致的停机时间总计不超过43.8小时。建立规范的运维服务体系，实现故障响应时间不超过2小时，一级告警15分钟内响应处理。</w:t>
      </w:r>
    </w:p>
    <w:p w14:paraId="7AE7316E">
      <w:pPr>
        <w:pStyle w:val="3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 w14:paraId="26D2759B">
      <w:pPr>
        <w:pStyle w:val="3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 w14:paraId="1683D1A4">
      <w:pPr>
        <w:pStyle w:val="33"/>
        <w:bidi w:val="0"/>
      </w:pPr>
      <w:bookmarkStart w:id="10" w:name="_Toc18867"/>
      <w:r>
        <w:t>实施原则</w:t>
      </w:r>
      <w:bookmarkEnd w:id="9"/>
      <w:bookmarkEnd w:id="10"/>
    </w:p>
    <w:p w14:paraId="76A8A7DD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分阶段推进：按照项目启动、需求确认、系统部署、系统培训、试运行、验收六个阶段有序推进</w:t>
      </w:r>
    </w:p>
    <w:p w14:paraId="45C6B744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里程碑控制：设置关键里程碑节点，确保项目进度可控</w:t>
      </w:r>
    </w:p>
    <w:p w14:paraId="37021076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质量优先：每个阶段完成后进行评审，确保交付质量</w:t>
      </w:r>
    </w:p>
    <w:p w14:paraId="702120A1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客户参与：关键节点需甲方确认，确保项目方向一致</w:t>
      </w:r>
    </w:p>
    <w:p w14:paraId="2DB7CC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正式运维阶段，持续开展系统监控、性能分析和服务改进，通过PDCA循环不断优化运维服务质量。</w:t>
      </w:r>
    </w:p>
    <w:p w14:paraId="28959A89">
      <w:pPr>
        <w:pStyle w:val="31"/>
        <w:bidi w:val="0"/>
        <w:rPr>
          <w:rFonts w:hint="default"/>
          <w:lang w:val="en-US" w:eastAsia="zh-CN"/>
        </w:rPr>
      </w:pPr>
      <w:bookmarkStart w:id="11" w:name="_Toc26035"/>
      <w:r>
        <w:rPr>
          <w:rFonts w:hint="default"/>
          <w:lang w:val="en-US" w:eastAsia="zh-CN"/>
        </w:rPr>
        <w:t>年度工作阶段划分</w:t>
      </w:r>
      <w:bookmarkEnd w:id="11"/>
    </w:p>
    <w:p w14:paraId="2AFDF4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25204"/>
      <w:r>
        <w:rPr>
          <w:rFonts w:hint="eastAsia"/>
          <w:lang w:val="en-US" w:eastAsia="zh-CN"/>
        </w:rPr>
        <w:t xml:space="preserve"> 年度工作阶段划分表</w:t>
      </w:r>
      <w:bookmarkEnd w:id="12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 w14:paraId="7AC0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6227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D6B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阶段名称</w:t>
            </w:r>
          </w:p>
        </w:tc>
        <w:tc>
          <w:tcPr>
            <w:tcW w:w="12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A6B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54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71A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主要任务</w:t>
            </w:r>
          </w:p>
        </w:tc>
      </w:tr>
      <w:tr w14:paraId="226DD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F08B7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62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项目启动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AC2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第1-2周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889B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组建项目团队、召开项目启动会、确认年度计划、建立沟通机制</w:t>
            </w:r>
          </w:p>
        </w:tc>
      </w:tr>
      <w:tr w14:paraId="1182E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D1FB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390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需求确认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ABC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第3-4周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C9C3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业务流程调研、功能需求确认、硬件环境检查、数据迁移方案确认</w:t>
            </w:r>
          </w:p>
        </w:tc>
      </w:tr>
      <w:tr w14:paraId="469BC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50E1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088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系统部署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D0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第5-8周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C488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服务器环境准备、网络连通性测试、系统安装配置、数据库初始化、历史数据导入、前端设备调试、功能测试</w:t>
            </w:r>
          </w:p>
        </w:tc>
      </w:tr>
      <w:tr w14:paraId="25A19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0E05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413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系统培训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566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第9-10周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5780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操作手册编写、培训材料准备、操作人员培训、管理员培训、培训效果评估</w:t>
            </w:r>
          </w:p>
        </w:tc>
      </w:tr>
      <w:tr w14:paraId="61DB5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043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BB1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试运行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0B9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第11-14周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EA95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系统正式上线、试运行监控、问题收集处理、系统优化调整、试运行总结</w:t>
            </w:r>
          </w:p>
        </w:tc>
      </w:tr>
      <w:tr w14:paraId="40B0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98D0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4D9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正式运维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403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第15-52周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A9BF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日常运维、巡检监控、故障处理、服务报告、持续优化</w:t>
            </w:r>
          </w:p>
        </w:tc>
      </w:tr>
    </w:tbl>
    <w:p w14:paraId="3BFA6A01">
      <w:pPr>
        <w:pStyle w:val="32"/>
        <w:rPr>
          <w:rFonts w:hint="default"/>
          <w:lang w:val="en-US" w:eastAsia="zh-CN"/>
        </w:rPr>
      </w:pPr>
    </w:p>
    <w:p w14:paraId="447C6B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665E134">
      <w:pPr>
        <w:pStyle w:val="31"/>
        <w:bidi w:val="0"/>
        <w:rPr>
          <w:rFonts w:hint="default"/>
          <w:lang w:val="en-US" w:eastAsia="zh-CN"/>
        </w:rPr>
      </w:pPr>
      <w:bookmarkStart w:id="13" w:name="_Toc2383"/>
      <w:r>
        <w:rPr>
          <w:rFonts w:hint="default"/>
          <w:lang w:val="en-US" w:eastAsia="zh-CN"/>
        </w:rPr>
        <w:t>年度详细工作计划</w:t>
      </w:r>
      <w:bookmarkEnd w:id="13"/>
    </w:p>
    <w:p w14:paraId="4201A2BB">
      <w:pPr>
        <w:pStyle w:val="33"/>
        <w:bidi w:val="0"/>
        <w:rPr>
          <w:rFonts w:hint="default"/>
          <w:lang w:val="en-US" w:eastAsia="zh-CN"/>
        </w:rPr>
      </w:pPr>
      <w:bookmarkStart w:id="14" w:name="_Toc4819"/>
      <w:r>
        <w:rPr>
          <w:rFonts w:hint="default"/>
          <w:lang w:val="en-US" w:eastAsia="zh-CN"/>
        </w:rPr>
        <w:t>第一阶段：项目启动（第1-2周）</w:t>
      </w:r>
      <w:bookmarkEnd w:id="14"/>
    </w:p>
    <w:p w14:paraId="1E7396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 w14:paraId="0DB6DD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 w14:paraId="712AFF48">
      <w:pPr>
        <w:pStyle w:val="33"/>
        <w:bidi w:val="0"/>
        <w:rPr>
          <w:rFonts w:hint="default"/>
          <w:lang w:val="en-US" w:eastAsia="zh-CN"/>
        </w:rPr>
      </w:pPr>
      <w:bookmarkStart w:id="15" w:name="_Toc18348"/>
      <w:r>
        <w:rPr>
          <w:rFonts w:hint="default"/>
          <w:lang w:val="en-US" w:eastAsia="zh-CN"/>
        </w:rPr>
        <w:t>第二阶段：需求确认（第3-4周）</w:t>
      </w:r>
      <w:bookmarkEnd w:id="15"/>
    </w:p>
    <w:p w14:paraId="7675232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ERP系统需要实现的功能范围。硬件负责人同步开展硬件环境检查，确认服务器、网络、前端设备满足系统运行要求，形成《硬件环境检查报告》。</w:t>
      </w:r>
    </w:p>
    <w:p w14:paraId="79A1CE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 w14:paraId="27E4E898">
      <w:pPr>
        <w:pStyle w:val="33"/>
        <w:bidi w:val="0"/>
        <w:rPr>
          <w:rFonts w:hint="default"/>
          <w:lang w:val="en-US" w:eastAsia="zh-CN"/>
        </w:rPr>
      </w:pPr>
      <w:bookmarkStart w:id="16" w:name="_Toc27043"/>
      <w:r>
        <w:rPr>
          <w:rFonts w:hint="default"/>
          <w:lang w:val="en-US" w:eastAsia="zh-CN"/>
        </w:rPr>
        <w:t>第三阶段：系统部署（第5-8周）</w:t>
      </w:r>
      <w:bookmarkEnd w:id="16"/>
    </w:p>
    <w:p w14:paraId="3917EC6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 w14:paraId="046DC2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第6周，技术负责人完成ERP系统安装和系统配置，确保系统参数符合业务需求。</w:t>
      </w:r>
    </w:p>
    <w:p w14:paraId="16771F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第7周，技术负责人完成数据库初始化和历史数据导入，形成《数据迁移确认书》。硬件负责人完成前端设备调试，确保收银机、扫码枪、打印机等设备与系统正常通信。</w:t>
      </w:r>
    </w:p>
    <w:p w14:paraId="6F5A209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 w14:paraId="1316849D">
      <w:pPr>
        <w:pStyle w:val="33"/>
        <w:bidi w:val="0"/>
        <w:rPr>
          <w:rFonts w:hint="default"/>
          <w:lang w:val="en-US" w:eastAsia="zh-CN"/>
        </w:rPr>
      </w:pPr>
      <w:bookmarkStart w:id="17" w:name="_Toc25647"/>
      <w:r>
        <w:rPr>
          <w:rFonts w:hint="default"/>
          <w:lang w:val="en-US" w:eastAsia="zh-CN"/>
        </w:rPr>
        <w:t>第四阶段：系统培训（第9-10周）</w:t>
      </w:r>
      <w:bookmarkEnd w:id="17"/>
    </w:p>
    <w:p w14:paraId="6C4998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 w14:paraId="00F0A97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 w14:paraId="508114EE">
      <w:pPr>
        <w:pStyle w:val="33"/>
        <w:bidi w:val="0"/>
        <w:rPr>
          <w:rFonts w:hint="default"/>
          <w:lang w:val="en-US" w:eastAsia="zh-CN"/>
        </w:rPr>
      </w:pPr>
      <w:bookmarkStart w:id="18" w:name="_Toc11624"/>
      <w:r>
        <w:rPr>
          <w:rFonts w:hint="default"/>
          <w:lang w:val="en-US" w:eastAsia="zh-CN"/>
        </w:rPr>
        <w:t>第五阶段：试运行（第11-14周）</w:t>
      </w:r>
      <w:bookmarkEnd w:id="18"/>
    </w:p>
    <w:p w14:paraId="7794A0F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 w14:paraId="4F1DA7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 w14:paraId="3390BE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 w14:paraId="04F354B4">
      <w:pPr>
        <w:pStyle w:val="33"/>
        <w:bidi w:val="0"/>
        <w:rPr>
          <w:rFonts w:hint="default"/>
          <w:lang w:val="en-US" w:eastAsia="zh-CN"/>
        </w:rPr>
      </w:pPr>
      <w:bookmarkStart w:id="19" w:name="_Toc22675"/>
      <w:r>
        <w:rPr>
          <w:rFonts w:hint="default"/>
          <w:lang w:val="en-US" w:eastAsia="zh-CN"/>
        </w:rPr>
        <w:t>第六阶段：正式运维（第15-52周）</w:t>
      </w:r>
      <w:bookmarkEnd w:id="19"/>
    </w:p>
    <w:p w14:paraId="6D09DC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本阶段为系统正式运维期，持续至合同结束。</w:t>
      </w:r>
    </w:p>
    <w:p w14:paraId="0C7BAAC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前端设备巡检，确保收银机、扫码枪、打印机等设备正常运行。服务台专员负责受理用户事件请求，记录处理过程，并定期开展客户回访。</w:t>
      </w:r>
    </w:p>
    <w:p w14:paraId="40CB0DA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 w14:paraId="2AF3AC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 w14:paraId="5AA5D1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 w14:paraId="18DFF959">
      <w:pPr>
        <w:pStyle w:val="31"/>
        <w:bidi w:val="0"/>
        <w:rPr>
          <w:rFonts w:hint="default"/>
          <w:lang w:val="en-US" w:eastAsia="zh-CN"/>
        </w:rPr>
      </w:pPr>
      <w:bookmarkStart w:id="20" w:name="_Toc28222"/>
      <w:r>
        <w:rPr>
          <w:rFonts w:hint="default"/>
          <w:lang w:val="en-US" w:eastAsia="zh-CN"/>
        </w:rPr>
        <w:t>年度资源安排</w:t>
      </w:r>
      <w:bookmarkEnd w:id="20"/>
    </w:p>
    <w:p w14:paraId="2B31E971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21" w:name="_Toc9389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人员资源</w:t>
      </w:r>
      <w:bookmarkEnd w:id="21"/>
    </w:p>
    <w:p w14:paraId="0FCD38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 w14:paraId="56EF856C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22" w:name="_Toc9278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硬件资源</w:t>
      </w:r>
      <w:bookmarkEnd w:id="22"/>
    </w:p>
    <w:p w14:paraId="5E346A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前端设备包括收银机、扫码枪、打印机等。乙方提供备用服务器1台，用于应急切换；提供测试笔记本电脑1台，用于系统测试和调试。</w:t>
      </w:r>
    </w:p>
    <w:p w14:paraId="3D180AA7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23" w:name="_Toc24927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软件资源</w:t>
      </w:r>
      <w:bookmarkEnd w:id="23"/>
    </w:p>
    <w:p w14:paraId="49F15C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软件资源由乙方提供，包括企业门店ERP统一管理系统、MySQL数据库软件、监控工具等。操作系统由甲方提供，包括Linux或Windows Server。</w:t>
      </w:r>
    </w:p>
    <w:p w14:paraId="2579EA98">
      <w:pPr>
        <w:pStyle w:val="31"/>
        <w:bidi w:val="0"/>
        <w:rPr>
          <w:rFonts w:hint="default"/>
          <w:lang w:val="en-US" w:eastAsia="zh-CN"/>
        </w:rPr>
      </w:pPr>
      <w:bookmarkStart w:id="24" w:name="_Toc18733"/>
      <w:r>
        <w:rPr>
          <w:rFonts w:hint="default"/>
          <w:lang w:val="en-US" w:eastAsia="zh-CN"/>
        </w:rPr>
        <w:t>年度里程碑节点</w:t>
      </w:r>
      <w:bookmarkEnd w:id="24"/>
    </w:p>
    <w:p w14:paraId="1987E51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28063"/>
      <w:r>
        <w:rPr>
          <w:rFonts w:hint="eastAsia"/>
          <w:lang w:val="en-US" w:eastAsia="zh-CN"/>
        </w:rPr>
        <w:t xml:space="preserve"> 年度里程碑节点表</w:t>
      </w:r>
      <w:bookmarkEnd w:id="25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 w14:paraId="30A15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AA5D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里程碑</w:t>
            </w:r>
          </w:p>
        </w:tc>
        <w:tc>
          <w:tcPr>
            <w:tcW w:w="15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0F0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计划完成时间</w:t>
            </w:r>
          </w:p>
        </w:tc>
        <w:tc>
          <w:tcPr>
            <w:tcW w:w="40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C3A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交付物</w:t>
            </w:r>
          </w:p>
        </w:tc>
        <w:tc>
          <w:tcPr>
            <w:tcW w:w="10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D85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确认方</w:t>
            </w:r>
          </w:p>
        </w:tc>
      </w:tr>
      <w:tr w14:paraId="32C4A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330F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M1：项目启动完成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9BF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CF5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FA6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双方</w:t>
            </w:r>
          </w:p>
        </w:tc>
      </w:tr>
      <w:tr w14:paraId="39B1F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4AB3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M2：需求确认完成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55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482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《需求确认书》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443C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甲方</w:t>
            </w:r>
          </w:p>
        </w:tc>
      </w:tr>
      <w:tr w14:paraId="2B7B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F03F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M3：系统部署完成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6B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DC8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12C7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乙方</w:t>
            </w:r>
          </w:p>
        </w:tc>
      </w:tr>
      <w:tr w14:paraId="2745D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4D7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M4：培训完成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BE4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D7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B459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甲方</w:t>
            </w:r>
          </w:p>
        </w:tc>
      </w:tr>
      <w:tr w14:paraId="25D90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6D25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M5：试运行完成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EF8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第14周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BD1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《试运行报告》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8C73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双方</w:t>
            </w:r>
          </w:p>
        </w:tc>
      </w:tr>
      <w:tr w14:paraId="56EB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8472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M6：项目验收完成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82F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第15周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99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《项目验收报告》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5383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双方</w:t>
            </w:r>
          </w:p>
        </w:tc>
      </w:tr>
      <w:tr w14:paraId="0B3AA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7EA8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M7：季度运维报告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015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每季度末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EF5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《季度运维服务报告》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ECD7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甲方</w:t>
            </w:r>
          </w:p>
        </w:tc>
      </w:tr>
      <w:tr w14:paraId="16E6B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5BE8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M8：年度服务总结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67C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第52周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212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《年度服务总结报告》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D83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双方</w:t>
            </w:r>
          </w:p>
        </w:tc>
      </w:tr>
    </w:tbl>
    <w:p w14:paraId="4D8B2BB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776ADDAC">
      <w:pPr>
        <w:pStyle w:val="31"/>
        <w:bidi w:val="0"/>
        <w:rPr>
          <w:rFonts w:hint="default"/>
          <w:lang w:val="en-US" w:eastAsia="zh-CN"/>
        </w:rPr>
      </w:pPr>
      <w:bookmarkStart w:id="26" w:name="_Toc31777"/>
      <w:r>
        <w:rPr>
          <w:rFonts w:hint="default"/>
          <w:lang w:val="en-US" w:eastAsia="zh-CN"/>
        </w:rPr>
        <w:t>年度风险与应对</w:t>
      </w:r>
      <w:bookmarkEnd w:id="26"/>
    </w:p>
    <w:p w14:paraId="18B6A0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本项目可能面临的主要风险及应对措施如下：</w:t>
      </w:r>
    </w:p>
    <w:p w14:paraId="5E00DE4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硬件环境不满足要求。发生概率约30%，风险等级中等。应对措施是在项目启动阶段提前进行硬件环境检查，明确告知甲方配置要求。如硬件不满足要求，应急方案是协调甲方采购或调整配置。</w:t>
      </w:r>
    </w:p>
    <w:p w14:paraId="4D43936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 w14:paraId="3F0A2E1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 w14:paraId="5DE366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 w14:paraId="713528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 w14:paraId="1B570C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 w14:paraId="7183924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 w14:paraId="3959F3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 w14:paraId="366C6685">
      <w:pPr>
        <w:pStyle w:val="31"/>
        <w:bidi w:val="0"/>
        <w:rPr>
          <w:rFonts w:hint="default"/>
          <w:lang w:val="en-US" w:eastAsia="zh-CN"/>
        </w:rPr>
      </w:pPr>
      <w:bookmarkStart w:id="27" w:name="_Toc3168"/>
      <w:r>
        <w:rPr>
          <w:rFonts w:hint="default"/>
          <w:lang w:val="en-US" w:eastAsia="zh-CN"/>
        </w:rPr>
        <w:t>计划跟踪机制</w:t>
      </w:r>
      <w:bookmarkEnd w:id="27"/>
    </w:p>
    <w:p w14:paraId="1A946930">
      <w:pPr>
        <w:pStyle w:val="33"/>
        <w:bidi w:val="0"/>
        <w:rPr>
          <w:rFonts w:hint="default"/>
          <w:lang w:val="en-US" w:eastAsia="zh-CN"/>
        </w:rPr>
      </w:pPr>
      <w:bookmarkStart w:id="28" w:name="_Toc26561"/>
      <w:r>
        <w:rPr>
          <w:rFonts w:hint="default"/>
          <w:lang w:val="en-US" w:eastAsia="zh-CN"/>
        </w:rPr>
        <w:t>进度跟踪</w:t>
      </w:r>
      <w:bookmarkEnd w:id="28"/>
    </w:p>
    <w:p w14:paraId="10044D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 w14:paraId="1161EB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每个里程碑完成后，组织里程碑评审会议，确认阶段成果，评估是否具备进入下一阶段的条件。</w:t>
      </w:r>
    </w:p>
    <w:p w14:paraId="1E07D7C5">
      <w:pPr>
        <w:pStyle w:val="33"/>
        <w:bidi w:val="0"/>
        <w:rPr>
          <w:rFonts w:hint="default"/>
          <w:lang w:val="en-US" w:eastAsia="zh-CN"/>
        </w:rPr>
      </w:pPr>
      <w:bookmarkStart w:id="29" w:name="_Toc23282"/>
      <w:r>
        <w:rPr>
          <w:rFonts w:hint="default"/>
          <w:lang w:val="en-US" w:eastAsia="zh-CN"/>
        </w:rPr>
        <w:t>问题跟踪</w:t>
      </w:r>
      <w:bookmarkEnd w:id="29"/>
    </w:p>
    <w:p w14:paraId="005FEF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 w14:paraId="7FDEBAA2">
      <w:pPr>
        <w:pStyle w:val="33"/>
        <w:bidi w:val="0"/>
        <w:rPr>
          <w:rFonts w:hint="default"/>
          <w:lang w:val="en-US" w:eastAsia="zh-CN"/>
        </w:rPr>
      </w:pPr>
      <w:bookmarkStart w:id="30" w:name="_Toc13395"/>
      <w:r>
        <w:rPr>
          <w:rFonts w:hint="default"/>
          <w:lang w:val="en-US" w:eastAsia="zh-CN"/>
        </w:rPr>
        <w:t>变更管理</w:t>
      </w:r>
      <w:bookmarkEnd w:id="30"/>
    </w:p>
    <w:p w14:paraId="708028B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 w14:paraId="6533370F">
      <w:pPr>
        <w:pStyle w:val="33"/>
        <w:bidi w:val="0"/>
        <w:rPr>
          <w:rFonts w:hint="default"/>
          <w:lang w:val="en-US" w:eastAsia="zh-CN"/>
        </w:rPr>
      </w:pPr>
      <w:bookmarkStart w:id="31" w:name="_Toc1669"/>
      <w:r>
        <w:rPr>
          <w:rFonts w:hint="default"/>
          <w:lang w:val="en-US" w:eastAsia="zh-CN"/>
        </w:rPr>
        <w:t>服务质量监控</w:t>
      </w:r>
      <w:bookmarkEnd w:id="31"/>
    </w:p>
    <w:p w14:paraId="06043D9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133387"/>
    <w:rsid w:val="007958E0"/>
    <w:rsid w:val="019404F8"/>
    <w:rsid w:val="01FB4914"/>
    <w:rsid w:val="027D2989"/>
    <w:rsid w:val="02FC0103"/>
    <w:rsid w:val="053A4F12"/>
    <w:rsid w:val="056C5A14"/>
    <w:rsid w:val="06281FAE"/>
    <w:rsid w:val="07C17B6D"/>
    <w:rsid w:val="09436A8B"/>
    <w:rsid w:val="09F14739"/>
    <w:rsid w:val="0C3F0906"/>
    <w:rsid w:val="0DC22523"/>
    <w:rsid w:val="0E032C8D"/>
    <w:rsid w:val="0ED2440E"/>
    <w:rsid w:val="10707D4D"/>
    <w:rsid w:val="1202325C"/>
    <w:rsid w:val="12A51A90"/>
    <w:rsid w:val="136717CF"/>
    <w:rsid w:val="14086F4E"/>
    <w:rsid w:val="14656E95"/>
    <w:rsid w:val="15B14D7D"/>
    <w:rsid w:val="166D15EC"/>
    <w:rsid w:val="17147CB9"/>
    <w:rsid w:val="17182E0B"/>
    <w:rsid w:val="17884203"/>
    <w:rsid w:val="1BF8397F"/>
    <w:rsid w:val="1C0A51E7"/>
    <w:rsid w:val="1C8C6544"/>
    <w:rsid w:val="1CA12230"/>
    <w:rsid w:val="1CB33715"/>
    <w:rsid w:val="1CDD6D9F"/>
    <w:rsid w:val="1D37025D"/>
    <w:rsid w:val="1EB36FD8"/>
    <w:rsid w:val="1F1E6826"/>
    <w:rsid w:val="1F7D05CB"/>
    <w:rsid w:val="1F8C1635"/>
    <w:rsid w:val="1FC74B80"/>
    <w:rsid w:val="20CF4C51"/>
    <w:rsid w:val="223F4735"/>
    <w:rsid w:val="24062738"/>
    <w:rsid w:val="24B34FD0"/>
    <w:rsid w:val="25972DB8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732C69"/>
    <w:rsid w:val="2BF33EE9"/>
    <w:rsid w:val="2D587F04"/>
    <w:rsid w:val="2D8C49F8"/>
    <w:rsid w:val="2F656CE0"/>
    <w:rsid w:val="2F7E68C4"/>
    <w:rsid w:val="301D7787"/>
    <w:rsid w:val="304F76D1"/>
    <w:rsid w:val="314825E1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C5417B3"/>
    <w:rsid w:val="3CD14212"/>
    <w:rsid w:val="3E6E73FF"/>
    <w:rsid w:val="434F5A51"/>
    <w:rsid w:val="46377F79"/>
    <w:rsid w:val="46DC68AA"/>
    <w:rsid w:val="488153A5"/>
    <w:rsid w:val="490C7F41"/>
    <w:rsid w:val="4A500D61"/>
    <w:rsid w:val="4AF65855"/>
    <w:rsid w:val="4B392A08"/>
    <w:rsid w:val="4BD25472"/>
    <w:rsid w:val="4C454224"/>
    <w:rsid w:val="4C6205A3"/>
    <w:rsid w:val="4E017CEB"/>
    <w:rsid w:val="4E2A60C0"/>
    <w:rsid w:val="4E9407BC"/>
    <w:rsid w:val="4F101A32"/>
    <w:rsid w:val="50854FFE"/>
    <w:rsid w:val="53AE40CE"/>
    <w:rsid w:val="53B611D5"/>
    <w:rsid w:val="558A46C7"/>
    <w:rsid w:val="56130B60"/>
    <w:rsid w:val="582E275F"/>
    <w:rsid w:val="58A7364B"/>
    <w:rsid w:val="58D2085F"/>
    <w:rsid w:val="593257A1"/>
    <w:rsid w:val="59DA3FFD"/>
    <w:rsid w:val="5B516BD5"/>
    <w:rsid w:val="5C4856E9"/>
    <w:rsid w:val="5D535CE6"/>
    <w:rsid w:val="5E180BAB"/>
    <w:rsid w:val="5EA507C4"/>
    <w:rsid w:val="5EF332DD"/>
    <w:rsid w:val="5FA62A45"/>
    <w:rsid w:val="5FE12648"/>
    <w:rsid w:val="61D218D0"/>
    <w:rsid w:val="6477050C"/>
    <w:rsid w:val="64AB37B1"/>
    <w:rsid w:val="64BC3C03"/>
    <w:rsid w:val="671424F9"/>
    <w:rsid w:val="6A3B3D8A"/>
    <w:rsid w:val="6A6E6E1D"/>
    <w:rsid w:val="6B9B2D32"/>
    <w:rsid w:val="6C79627B"/>
    <w:rsid w:val="6EBF3899"/>
    <w:rsid w:val="6EE8765A"/>
    <w:rsid w:val="6EFC61DE"/>
    <w:rsid w:val="704240C4"/>
    <w:rsid w:val="72FB6E1F"/>
    <w:rsid w:val="751628A1"/>
    <w:rsid w:val="758E56B6"/>
    <w:rsid w:val="75CB690A"/>
    <w:rsid w:val="764322BB"/>
    <w:rsid w:val="784A0269"/>
    <w:rsid w:val="787B46C6"/>
    <w:rsid w:val="79860C21"/>
    <w:rsid w:val="7A876D67"/>
    <w:rsid w:val="7B264EA2"/>
    <w:rsid w:val="7BC556F2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2341</Words>
  <Characters>2561</Characters>
  <Lines>0</Lines>
  <Paragraphs>0</Paragraphs>
  <TotalTime>0</TotalTime>
  <ScaleCrop>false</ScaleCrop>
  <LinksUpToDate>false</LinksUpToDate>
  <CharactersWithSpaces>2775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2026-04-01T20:25:45Z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