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CC7B8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天津图云智能科技有限公司</w:t>
      </w:r>
      <w:bookmarkEnd w:id="0"/>
    </w:p>
    <w:p w14:paraId="0D1D2709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2025年度人员管理报告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60D70E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2EBF0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ED785E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TJTY-ITSS-0511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7B39F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5D99D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48868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1EB33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BBD72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靳春阳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BD0E0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B616DF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 w14:paraId="7CEB87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38DB7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F7D61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粱学敏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BB5AD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810B4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 w14:paraId="10082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A305D5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DDDA68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朱明睿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CC986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73E60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  <w:tr w14:paraId="370D8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7FCB3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C9133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811E7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B27B6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</w:tr>
    </w:tbl>
    <w:p w14:paraId="3C41038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F41611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45CF8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A6BC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938C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1D06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1DD9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1CFE3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629F9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80F3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D72E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CECE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靳春阳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143D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116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122491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01B6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D5A3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B4B0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902E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CE6C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2368A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47E7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9754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7D45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8D8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A313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C38C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D0F9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D19B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0054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9E7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C7F7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19D7E42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472B4E4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E2C35C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_Toc24275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报告概述</w:t>
          </w:r>
          <w:r>
            <w:tab/>
          </w:r>
          <w:r>
            <w:fldChar w:fldCharType="begin"/>
          </w:r>
          <w:r>
            <w:instrText xml:space="preserve"> PAGEREF _Toc24275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062CA3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_Toc135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人员招聘计划执行情况</w:t>
          </w:r>
          <w:r>
            <w:tab/>
          </w:r>
          <w:r>
            <w:fldChar w:fldCharType="begin"/>
          </w:r>
          <w:r>
            <w:instrText xml:space="preserve"> PAGEREF _Toc135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74C6DB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_Toc29300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招聘完成情况</w:t>
          </w:r>
          <w:r>
            <w:tab/>
          </w:r>
          <w:r>
            <w:fldChar w:fldCharType="begin"/>
          </w:r>
          <w:r>
            <w:instrText xml:space="preserve"> PAGEREF _Toc29300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57A6E8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_Toc20929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招聘工作成效</w:t>
          </w:r>
          <w:r>
            <w:tab/>
          </w:r>
          <w:r>
            <w:fldChar w:fldCharType="begin"/>
          </w:r>
          <w:r>
            <w:instrText xml:space="preserve"> PAGEREF _Toc20929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63D974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_Toc9738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t>存在问题与改进措施</w:t>
          </w:r>
          <w:r>
            <w:tab/>
          </w:r>
          <w:r>
            <w:fldChar w:fldCharType="begin"/>
          </w:r>
          <w:r>
            <w:instrText xml:space="preserve"> PAGEREF _Toc9738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258E46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_Toc24144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人员储备计划执行情况</w:t>
          </w:r>
          <w:r>
            <w:tab/>
          </w:r>
          <w:r>
            <w:fldChar w:fldCharType="begin"/>
          </w:r>
          <w:r>
            <w:instrText xml:space="preserve"> PAGEREF _Toc24144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6AAAED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_Toc13063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储备完成情况</w:t>
          </w:r>
          <w:r>
            <w:tab/>
          </w:r>
          <w:r>
            <w:fldChar w:fldCharType="begin"/>
          </w:r>
          <w:r>
            <w:instrText xml:space="preserve"> PAGEREF _Toc13063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CE9640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_Toc9592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储备培养情况</w:t>
          </w:r>
          <w:r>
            <w:tab/>
          </w:r>
          <w:r>
            <w:fldChar w:fldCharType="begin"/>
          </w:r>
          <w:r>
            <w:instrText xml:space="preserve"> PAGEREF _Toc9592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16389C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t>存在问题与改进措施</w:t>
          </w:r>
          <w:r>
            <w:tab/>
          </w:r>
          <w:r>
            <w:fldChar w:fldCharType="begin"/>
          </w:r>
          <w:r>
            <w:instrText xml:space="preserve"> PAGEREF _Toc210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EBA0015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_Toc2414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人员培训计划执行情况</w:t>
          </w:r>
          <w:r>
            <w:tab/>
          </w:r>
          <w:r>
            <w:fldChar w:fldCharType="begin"/>
          </w:r>
          <w:r>
            <w:instrText xml:space="preserve"> PAGEREF _Toc2414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D45DC4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_Toc18319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培训完成情况</w:t>
          </w:r>
          <w:r>
            <w:tab/>
          </w:r>
          <w:r>
            <w:fldChar w:fldCharType="begin"/>
          </w:r>
          <w:r>
            <w:instrText xml:space="preserve"> PAGEREF _Toc18319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EEF209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_Toc19841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培训预算执行情况</w:t>
          </w:r>
          <w:r>
            <w:tab/>
          </w:r>
          <w:r>
            <w:fldChar w:fldCharType="begin"/>
          </w:r>
          <w:r>
            <w:instrText xml:space="preserve"> PAGEREF _Toc19841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E65E28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_Toc25121 </w:instrText>
          </w:r>
          <w:r>
            <w:fldChar w:fldCharType="separate"/>
          </w:r>
          <w:r>
            <w:rPr>
              <w:rFonts w:hint="default"/>
            </w:rPr>
            <w:t xml:space="preserve">4.3. </w:t>
          </w:r>
          <w:r>
            <w:t>培训效果评估</w:t>
          </w:r>
          <w:r>
            <w:tab/>
          </w:r>
          <w:r>
            <w:fldChar w:fldCharType="begin"/>
          </w:r>
          <w:r>
            <w:instrText xml:space="preserve"> PAGEREF _Toc25121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53AED6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_Toc14987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关键岗位备份计划执行情况</w:t>
          </w:r>
          <w:r>
            <w:tab/>
          </w:r>
          <w:r>
            <w:fldChar w:fldCharType="begin"/>
          </w:r>
          <w:r>
            <w:instrText xml:space="preserve"> PAGEREF _Toc14987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48DA14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_Toc4442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备份完成情况</w:t>
          </w:r>
          <w:r>
            <w:tab/>
          </w:r>
          <w:r>
            <w:fldChar w:fldCharType="begin"/>
          </w:r>
          <w:r>
            <w:instrText xml:space="preserve"> PAGEREF _Toc4442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DD9195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_Toc17400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备份人员能力达标情况</w:t>
          </w:r>
          <w:r>
            <w:tab/>
          </w:r>
          <w:r>
            <w:fldChar w:fldCharType="begin"/>
          </w:r>
          <w:r>
            <w:instrText xml:space="preserve"> PAGEREF _Toc17400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D35C3B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_Toc16746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人员绩效考核执行情况</w:t>
          </w:r>
          <w:r>
            <w:tab/>
          </w:r>
          <w:r>
            <w:fldChar w:fldCharType="begin"/>
          </w:r>
          <w:r>
            <w:instrText xml:space="preserve"> PAGEREF _Toc16746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624CD9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考核完成情况</w:t>
          </w:r>
          <w:r>
            <w:tab/>
          </w:r>
          <w:r>
            <w:fldChar w:fldCharType="begin"/>
          </w:r>
          <w:r>
            <w:instrText xml:space="preserve"> PAGEREF _Toc6623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455EFE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_Toc11280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6.2. </w:t>
          </w:r>
          <w:r>
            <w:rPr>
              <w:rFonts w:hint="eastAsia"/>
              <w:lang w:val="en-US" w:eastAsia="zh-CN"/>
            </w:rPr>
            <w:t>绩效考核及时完成率</w:t>
          </w:r>
          <w:r>
            <w:tab/>
          </w:r>
          <w:r>
            <w:fldChar w:fldCharType="begin"/>
          </w:r>
          <w:r>
            <w:instrText xml:space="preserve"> PAGEREF _Toc11280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57EF26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_Toc14591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考核结果分布</w:t>
          </w:r>
          <w:r>
            <w:tab/>
          </w:r>
          <w:r>
            <w:fldChar w:fldCharType="begin"/>
          </w:r>
          <w:r>
            <w:instrText xml:space="preserve"> PAGEREF _Toc14591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45D7DA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_Toc17694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人员技能评定执行情况</w:t>
          </w:r>
          <w:r>
            <w:tab/>
          </w:r>
          <w:r>
            <w:fldChar w:fldCharType="begin"/>
          </w:r>
          <w:r>
            <w:instrText xml:space="preserve"> PAGEREF _Toc17694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26117F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_Toc20391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7.1. </w:t>
          </w:r>
          <w:r>
            <w:rPr>
              <w:rFonts w:hint="eastAsia"/>
              <w:lang w:val="en-US" w:eastAsia="zh-CN"/>
            </w:rPr>
            <w:t>评定完成情况</w:t>
          </w:r>
          <w:r>
            <w:tab/>
          </w:r>
          <w:r>
            <w:fldChar w:fldCharType="begin"/>
          </w:r>
          <w:r>
            <w:instrText xml:space="preserve"> PAGEREF _Toc20391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2884A6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7.2. </w:t>
          </w:r>
          <w:r>
            <w:rPr>
              <w:rFonts w:hint="eastAsia"/>
              <w:lang w:val="en-US" w:eastAsia="zh-CN"/>
            </w:rPr>
            <w:t>技能评定结果</w:t>
          </w:r>
          <w:r>
            <w:tab/>
          </w:r>
          <w:r>
            <w:fldChar w:fldCharType="begin"/>
          </w:r>
          <w:r>
            <w:instrText xml:space="preserve"> PAGEREF _Toc3150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11C06F5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_Toc18121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7.3. </w:t>
          </w:r>
          <w:r>
            <w:rPr>
              <w:rFonts w:hint="eastAsia"/>
              <w:lang w:val="en-US" w:eastAsia="zh-CN"/>
            </w:rPr>
            <w:t>技能评定成效</w:t>
          </w:r>
          <w:r>
            <w:tab/>
          </w:r>
          <w:r>
            <w:fldChar w:fldCharType="begin"/>
          </w:r>
          <w:r>
            <w:instrText xml:space="preserve"> PAGEREF _Toc18121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EC316E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_Toc30323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总结与下年度展望</w:t>
          </w:r>
          <w:r>
            <w:tab/>
          </w:r>
          <w:r>
            <w:fldChar w:fldCharType="begin"/>
          </w:r>
          <w:r>
            <w:instrText xml:space="preserve"> PAGEREF _Toc30323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6E0D38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_Toc30930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8.1. </w:t>
          </w:r>
          <w:r>
            <w:rPr>
              <w:rFonts w:hint="eastAsia"/>
              <w:lang w:val="en-US" w:eastAsia="zh-CN"/>
            </w:rPr>
            <w:t>年度总体评价</w:t>
          </w:r>
          <w:r>
            <w:tab/>
          </w:r>
          <w:r>
            <w:fldChar w:fldCharType="begin"/>
          </w:r>
          <w:r>
            <w:instrText xml:space="preserve"> PAGEREF _Toc30930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08EB2F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_Toc29073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8.2. </w:t>
          </w:r>
          <w:r>
            <w:rPr>
              <w:rFonts w:hint="eastAsia"/>
              <w:lang w:val="en-US" w:eastAsia="zh-CN"/>
            </w:rPr>
            <w:t>年度工作亮点</w:t>
          </w:r>
          <w:r>
            <w:tab/>
          </w:r>
          <w:r>
            <w:fldChar w:fldCharType="begin"/>
          </w:r>
          <w:r>
            <w:instrText xml:space="preserve"> PAGEREF _Toc29073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5D02A4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_Toc11250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8.3. </w:t>
          </w:r>
          <w:r>
            <w:rPr>
              <w:rFonts w:hint="eastAsia"/>
              <w:lang w:val="en-US" w:eastAsia="zh-CN"/>
            </w:rPr>
            <w:t>下年度工作重点</w:t>
          </w:r>
          <w:r>
            <w:tab/>
          </w:r>
          <w:r>
            <w:fldChar w:fldCharType="begin"/>
          </w:r>
          <w:r>
            <w:instrText xml:space="preserve"> PAGEREF _Toc11250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15CCC6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6D640DC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463B18F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_Toc21501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2025年度人员招聘计划</w:t>
      </w:r>
      <w:r>
        <w:rPr>
          <w:rFonts w:hint="eastAsia"/>
          <w:lang w:val="en-US" w:eastAsia="zh-CN"/>
        </w:rPr>
        <w:t>完成情况</w:t>
      </w:r>
      <w:r>
        <w:tab/>
      </w:r>
      <w:r>
        <w:fldChar w:fldCharType="begin"/>
      </w:r>
      <w:r>
        <w:instrText xml:space="preserve"> PAGEREF _Toc21501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F33D492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储备</w:t>
      </w:r>
      <w:r>
        <w:t>计划</w:t>
      </w:r>
      <w:r>
        <w:rPr>
          <w:rFonts w:hint="eastAsia"/>
          <w:lang w:val="en-US" w:eastAsia="zh-CN"/>
        </w:rPr>
        <w:t>完成情况</w:t>
      </w:r>
      <w:r>
        <w:tab/>
      </w:r>
      <w:r>
        <w:fldChar w:fldCharType="begin"/>
      </w:r>
      <w:r>
        <w:instrText xml:space="preserve"> PAGEREF _Toc18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2E7119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_Toc15009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培训</w:t>
      </w:r>
      <w:r>
        <w:t>计划</w:t>
      </w:r>
      <w:r>
        <w:rPr>
          <w:rFonts w:hint="eastAsia"/>
          <w:lang w:val="en-US" w:eastAsia="zh-CN"/>
        </w:rPr>
        <w:t>完成情况</w:t>
      </w:r>
      <w:r>
        <w:tab/>
      </w:r>
      <w:r>
        <w:fldChar w:fldCharType="begin"/>
      </w:r>
      <w:r>
        <w:instrText xml:space="preserve"> PAGEREF _Toc15009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4CA4FC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_Toc5777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培训资金使用情况</w:t>
      </w:r>
      <w:r>
        <w:tab/>
      </w:r>
      <w:r>
        <w:fldChar w:fldCharType="begin"/>
      </w:r>
      <w:r>
        <w:instrText xml:space="preserve"> PAGEREF _Toc5777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4893E03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_Toc24569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备份</w:t>
      </w:r>
      <w:r>
        <w:t>计划</w:t>
      </w:r>
      <w:r>
        <w:rPr>
          <w:rFonts w:hint="eastAsia"/>
          <w:lang w:val="en-US" w:eastAsia="zh-CN"/>
        </w:rPr>
        <w:t>完成情况</w:t>
      </w:r>
      <w:r>
        <w:tab/>
      </w:r>
      <w:r>
        <w:fldChar w:fldCharType="begin"/>
      </w:r>
      <w:r>
        <w:instrText xml:space="preserve"> PAGEREF _Toc24569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5CF8E2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_Toc14524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绩效考核</w:t>
      </w:r>
      <w:r>
        <w:t>计划</w:t>
      </w:r>
      <w:r>
        <w:rPr>
          <w:rFonts w:hint="eastAsia"/>
          <w:lang w:val="en-US" w:eastAsia="zh-CN"/>
        </w:rPr>
        <w:t>完成情况</w:t>
      </w:r>
      <w:r>
        <w:tab/>
      </w:r>
      <w:r>
        <w:fldChar w:fldCharType="begin"/>
      </w:r>
      <w:r>
        <w:instrText xml:space="preserve"> PAGEREF _Toc14524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B7ED7C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_Toc17820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绩效考核人员占比</w:t>
      </w:r>
      <w:r>
        <w:tab/>
      </w:r>
      <w:r>
        <w:fldChar w:fldCharType="begin"/>
      </w:r>
      <w:r>
        <w:instrText xml:space="preserve"> PAGEREF _Toc17820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180BAEC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_Toc5653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技能评定完成情况</w:t>
      </w:r>
      <w:r>
        <w:tab/>
      </w:r>
      <w:r>
        <w:fldChar w:fldCharType="begin"/>
      </w:r>
      <w:r>
        <w:instrText xml:space="preserve"> PAGEREF _Toc5653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28D67857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_Toc7762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技能评定结果</w:t>
      </w:r>
      <w:r>
        <w:tab/>
      </w:r>
      <w:r>
        <w:fldChar w:fldCharType="begin"/>
      </w:r>
      <w:r>
        <w:instrText xml:space="preserve"> PAGEREF _Toc7762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C65436F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_Toc17072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202</w:t>
      </w:r>
      <w:r>
        <w:rPr>
          <w:rFonts w:hint="eastAsia"/>
          <w:lang w:val="en-US" w:eastAsia="zh-CN"/>
        </w:rPr>
        <w:t>6年度工作重点</w:t>
      </w:r>
      <w:r>
        <w:tab/>
      </w:r>
      <w:r>
        <w:fldChar w:fldCharType="begin"/>
      </w:r>
      <w:r>
        <w:instrText xml:space="preserve"> PAGEREF _Toc17072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C387F1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307FFFE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750762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24275"/>
      <w:r>
        <w:t>报告概述</w:t>
      </w:r>
      <w:bookmarkEnd w:id="1"/>
    </w:p>
    <w:p w14:paraId="2F9A01A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本报告旨在总结公司2025年度人员管理工作的执行情况，评估招聘、储备、培训、备份、绩效考核、技能评定六个方面的工作成效，分析存在的问题，为下一年度人员管理工作提供改进依据。</w:t>
      </w:r>
    </w:p>
    <w:p w14:paraId="5354A46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" w:name="heading_5"/>
      <w:bookmarkStart w:id="3" w:name="_Toc135"/>
      <w:r>
        <w:t>人员招聘计划执行情况</w:t>
      </w:r>
      <w:bookmarkEnd w:id="2"/>
      <w:bookmarkEnd w:id="3"/>
    </w:p>
    <w:p w14:paraId="560C22BE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" w:name="heading_6"/>
      <w:bookmarkStart w:id="5" w:name="_Toc29300"/>
      <w:r>
        <w:t>招聘完成情况</w:t>
      </w:r>
      <w:bookmarkEnd w:id="4"/>
      <w:bookmarkEnd w:id="5"/>
    </w:p>
    <w:p w14:paraId="0872DF5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2025年度计划招聘6人，实际到岗6人，招聘计划达成率100%。</w:t>
      </w:r>
    </w:p>
    <w:p w14:paraId="6532673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" w:name="_Toc21501"/>
      <w:r>
        <w:rPr>
          <w:rFonts w:hint="default"/>
          <w:lang w:val="en-US" w:eastAsia="zh-CN"/>
        </w:rPr>
        <w:t xml:space="preserve"> </w:t>
      </w:r>
      <w:r>
        <w:t>2025年度人员招聘计划</w:t>
      </w:r>
      <w:r>
        <w:rPr>
          <w:rFonts w:hint="eastAsia"/>
          <w:lang w:val="en-US" w:eastAsia="zh-CN"/>
        </w:rPr>
        <w:t>完成情况</w:t>
      </w:r>
      <w:bookmarkEnd w:id="6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2"/>
        <w:gridCol w:w="1926"/>
        <w:gridCol w:w="1692"/>
        <w:gridCol w:w="1692"/>
        <w:gridCol w:w="965"/>
        <w:gridCol w:w="1525"/>
      </w:tblGrid>
      <w:tr w14:paraId="5725738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2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A7A9A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92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BD985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69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C98B7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计划招聘人数</w:t>
            </w:r>
          </w:p>
        </w:tc>
        <w:tc>
          <w:tcPr>
            <w:tcW w:w="169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969A0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实际到岗人数</w:t>
            </w:r>
          </w:p>
        </w:tc>
        <w:tc>
          <w:tcPr>
            <w:tcW w:w="9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338B2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达成率</w:t>
            </w:r>
          </w:p>
        </w:tc>
        <w:tc>
          <w:tcPr>
            <w:tcW w:w="152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6E7AA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到岗时间</w:t>
            </w:r>
          </w:p>
        </w:tc>
      </w:tr>
      <w:tr w14:paraId="5025890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vMerge w:val="restart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9B787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926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F93D8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运维项目经理</w:t>
            </w:r>
          </w:p>
        </w:tc>
        <w:tc>
          <w:tcPr>
            <w:tcW w:w="1692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65D5B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692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385EA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965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F1967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907ED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2025年3月</w:t>
            </w:r>
          </w:p>
        </w:tc>
      </w:tr>
      <w:tr w14:paraId="0EA1C99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vMerge w:val="continue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1332A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926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97914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92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9A982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92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66D7E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65" w:type="dxa"/>
            <w:vMerge w:val="continue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8EACD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32B91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rPr>
                <w:rFonts w:hint="eastAsia"/>
                <w:lang w:val="en-US" w:eastAsia="zh-CN"/>
              </w:rPr>
              <w:t>2025年</w:t>
            </w:r>
            <w:r>
              <w:t>12月</w:t>
            </w:r>
          </w:p>
        </w:tc>
      </w:tr>
      <w:tr w14:paraId="7B5F8B5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B68A1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0EF5B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硬件运维工程师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8C992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EC217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73F69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59CAF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2025年3月</w:t>
            </w:r>
          </w:p>
        </w:tc>
      </w:tr>
      <w:tr w14:paraId="6FECC4F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5694E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BD1A8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服务台专员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F2498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00660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D7BA0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5C1DD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2025年9月</w:t>
            </w:r>
          </w:p>
        </w:tc>
      </w:tr>
      <w:tr w14:paraId="03EA3A1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7370D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42D7F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研发工程师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14B67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F55BB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2C3BC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F571D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2025年6月</w:t>
            </w:r>
          </w:p>
        </w:tc>
      </w:tr>
      <w:tr w14:paraId="0F05038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1FC8F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525B3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质量部专员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28E99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67FFA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0EC5B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F4B6B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2025年9月</w:t>
            </w:r>
          </w:p>
        </w:tc>
      </w:tr>
      <w:tr w14:paraId="0FF0FCE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C5F7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合计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D98D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AB9E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6</w:t>
            </w:r>
          </w:p>
        </w:tc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9B96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6</w:t>
            </w:r>
          </w:p>
        </w:tc>
        <w:tc>
          <w:tcPr>
            <w:tcW w:w="9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0B1F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100%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EFC9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textAlignment w:val="baseline"/>
              <w:rPr>
                <w:b/>
              </w:rPr>
            </w:pPr>
          </w:p>
        </w:tc>
      </w:tr>
    </w:tbl>
    <w:p w14:paraId="6BB3D9B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heading_7"/>
      <w:bookmarkStart w:id="8" w:name="_Toc20929"/>
      <w:r>
        <w:t>招聘工作成效</w:t>
      </w:r>
      <w:bookmarkEnd w:id="7"/>
      <w:bookmarkEnd w:id="8"/>
    </w:p>
    <w:p w14:paraId="6DDF14AF">
      <w:pPr>
        <w:pStyle w:val="4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所有招聘岗位均在计划时间内完成到岗</w:t>
      </w:r>
    </w:p>
    <w:p w14:paraId="21544DC2">
      <w:pPr>
        <w:pStyle w:val="4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招聘渠道主要包括招聘网站、内部储备和校园招聘</w:t>
      </w:r>
    </w:p>
    <w:p w14:paraId="72A97C80">
      <w:pPr>
        <w:pStyle w:val="4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新员工入职后均完成入职培训和试用期考核，试用期通过率100%</w:t>
      </w:r>
    </w:p>
    <w:p w14:paraId="066273B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heading_8"/>
      <w:bookmarkStart w:id="10" w:name="_Toc9738"/>
      <w:r>
        <w:t>存在问题与改进措施</w:t>
      </w:r>
      <w:bookmarkEnd w:id="9"/>
      <w:bookmarkEnd w:id="10"/>
    </w:p>
    <w:p w14:paraId="6BA1EBB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针对运维项目经理岗位候选人较少的问题，综合管理部计划在2026年第一季度通过拓展猎头招聘渠道、建立运维项目经理专项人才库的方式，扩大候选人来源渠道，提升岗位招聘效率。同时，加强与行业内相关人才的日常联系，形成常态化的人才储备机制，确保岗位空缺时能够快速补充合适人选。</w:t>
      </w:r>
    </w:p>
    <w:p w14:paraId="18CC57A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heading_9"/>
      <w:bookmarkStart w:id="12" w:name="_Toc24144"/>
      <w:r>
        <w:t>人员储备计划执行情况</w:t>
      </w:r>
      <w:bookmarkEnd w:id="11"/>
      <w:bookmarkEnd w:id="12"/>
    </w:p>
    <w:p w14:paraId="12E2991A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heading_10"/>
      <w:bookmarkStart w:id="14" w:name="_Toc13063"/>
      <w:r>
        <w:t>储备完成情况</w:t>
      </w:r>
      <w:bookmarkEnd w:id="13"/>
      <w:bookmarkEnd w:id="14"/>
    </w:p>
    <w:p w14:paraId="3EF8076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2025年度计划储备10人，实际储备10人，储备计划达成率100%。</w:t>
      </w:r>
    </w:p>
    <w:p w14:paraId="3E14AA6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5" w:name="_Toc18"/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储备</w:t>
      </w:r>
      <w:r>
        <w:t>计划</w:t>
      </w:r>
      <w:r>
        <w:rPr>
          <w:rFonts w:hint="eastAsia"/>
          <w:lang w:val="en-US" w:eastAsia="zh-CN"/>
        </w:rPr>
        <w:t>完成情况</w:t>
      </w:r>
      <w:bookmarkEnd w:id="15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1"/>
        <w:gridCol w:w="1931"/>
        <w:gridCol w:w="1689"/>
        <w:gridCol w:w="1689"/>
        <w:gridCol w:w="964"/>
        <w:gridCol w:w="1528"/>
      </w:tblGrid>
      <w:tr w14:paraId="48B7F78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2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440F1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93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758A0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储备岗位</w:t>
            </w:r>
          </w:p>
        </w:tc>
        <w:tc>
          <w:tcPr>
            <w:tcW w:w="168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F0466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计划储备人数</w:t>
            </w:r>
          </w:p>
        </w:tc>
        <w:tc>
          <w:tcPr>
            <w:tcW w:w="168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CF236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实际储备人数</w:t>
            </w:r>
          </w:p>
        </w:tc>
        <w:tc>
          <w:tcPr>
            <w:tcW w:w="96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2F447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达成率</w:t>
            </w:r>
          </w:p>
        </w:tc>
        <w:tc>
          <w:tcPr>
            <w:tcW w:w="152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CCA52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完成时间</w:t>
            </w:r>
          </w:p>
        </w:tc>
      </w:tr>
      <w:tr w14:paraId="188EB28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FB049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9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75852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运维项目经理</w:t>
            </w:r>
          </w:p>
        </w:tc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18796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787D2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6777D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05253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2025年6月</w:t>
            </w:r>
          </w:p>
        </w:tc>
      </w:tr>
      <w:tr w14:paraId="1FDAC2B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686FE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9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D30AA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硬件运维工程师</w:t>
            </w:r>
          </w:p>
        </w:tc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D2BC6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FF6C4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46B6F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820F78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2025年9月</w:t>
            </w:r>
          </w:p>
        </w:tc>
      </w:tr>
      <w:tr w14:paraId="29FDEFF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2B7DD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19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7F068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软件运维工程师</w:t>
            </w:r>
          </w:p>
        </w:tc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8E9B5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D0552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2C36D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C3E10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2025年9月</w:t>
            </w:r>
          </w:p>
        </w:tc>
      </w:tr>
      <w:tr w14:paraId="3A82E41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4AB76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19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6DBC9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服务台专员</w:t>
            </w:r>
          </w:p>
        </w:tc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8894D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C2581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CDBD1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724B9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2025年8月</w:t>
            </w:r>
          </w:p>
        </w:tc>
      </w:tr>
      <w:tr w14:paraId="1CD5576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EE181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19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0AB555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研发工程师</w:t>
            </w:r>
          </w:p>
        </w:tc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C3B4B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7AEF5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8BB2A2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9919B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2025年12月</w:t>
            </w:r>
          </w:p>
        </w:tc>
      </w:tr>
      <w:tr w14:paraId="3757652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0A3F6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6</w:t>
            </w:r>
          </w:p>
        </w:tc>
        <w:tc>
          <w:tcPr>
            <w:tcW w:w="19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82DFE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质量部专员</w:t>
            </w:r>
          </w:p>
        </w:tc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759AF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C86160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29331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100%</w:t>
            </w:r>
          </w:p>
        </w:tc>
        <w:tc>
          <w:tcPr>
            <w:tcW w:w="15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403D23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2025年8月</w:t>
            </w:r>
          </w:p>
        </w:tc>
      </w:tr>
      <w:tr w14:paraId="6C4AE20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35EF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合计</w:t>
            </w:r>
          </w:p>
        </w:tc>
        <w:tc>
          <w:tcPr>
            <w:tcW w:w="19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D708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ECE0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10</w:t>
            </w:r>
          </w:p>
        </w:tc>
        <w:tc>
          <w:tcPr>
            <w:tcW w:w="16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F0EE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10</w:t>
            </w:r>
          </w:p>
        </w:tc>
        <w:tc>
          <w:tcPr>
            <w:tcW w:w="9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EFED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100%</w:t>
            </w:r>
          </w:p>
        </w:tc>
        <w:tc>
          <w:tcPr>
            <w:tcW w:w="15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BBCD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textAlignment w:val="baseline"/>
              <w:rPr>
                <w:b/>
              </w:rPr>
            </w:pPr>
          </w:p>
        </w:tc>
      </w:tr>
    </w:tbl>
    <w:p w14:paraId="2BD8A13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6" w:name="heading_11"/>
      <w:bookmarkStart w:id="17" w:name="_Toc9592"/>
      <w:r>
        <w:t>储备培养情况</w:t>
      </w:r>
      <w:bookmarkEnd w:id="16"/>
      <w:bookmarkEnd w:id="17"/>
    </w:p>
    <w:p w14:paraId="0C9036F2">
      <w:pPr>
        <w:pStyle w:val="4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内部培养人员均完成导师制培养计划，培养周期3-6个月</w:t>
      </w:r>
    </w:p>
    <w:p w14:paraId="54780EB8">
      <w:pPr>
        <w:pStyle w:val="4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外部储备人员信息已录入《外部人才储备台账》，定期保持联系</w:t>
      </w:r>
    </w:p>
    <w:p w14:paraId="5024F643">
      <w:pPr>
        <w:pStyle w:val="4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储备人员能力验证合格率100%</w:t>
      </w:r>
    </w:p>
    <w:p w14:paraId="5213681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8" w:name="heading_12"/>
      <w:bookmarkStart w:id="19" w:name="_Toc210"/>
      <w:r>
        <w:t>存在问题与改进措施</w:t>
      </w:r>
      <w:bookmarkEnd w:id="18"/>
      <w:bookmarkEnd w:id="19"/>
    </w:p>
    <w:p w14:paraId="419841B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针对储备人员实战经验不足的问题，运维部将在2026年度加强储备人员的实践锻炼，每季度至少安排一次顶岗实习机会，让储备人员在真实工作场景中积累经验。同时，建立导师带教机制，由经验丰富的在岗人员对储备人员进行一对一指导，定期评估储备人员的能力提升情况，确保储备人员在需要顶岗时能够独立胜任岗位工作。</w:t>
      </w:r>
    </w:p>
    <w:p w14:paraId="3C83B61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0" w:name="heading_13"/>
      <w:bookmarkStart w:id="21" w:name="_Toc2414"/>
      <w:r>
        <w:t>人员培训计划执行情况</w:t>
      </w:r>
      <w:bookmarkEnd w:id="20"/>
      <w:bookmarkEnd w:id="21"/>
    </w:p>
    <w:p w14:paraId="19BAC587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2" w:name="heading_14"/>
      <w:bookmarkStart w:id="23" w:name="_Toc18319"/>
      <w:r>
        <w:t>培训完成情况</w:t>
      </w:r>
      <w:bookmarkEnd w:id="22"/>
      <w:bookmarkEnd w:id="23"/>
    </w:p>
    <w:p w14:paraId="707E78C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2025年度计划开展培训13项，实际完成13项，培训计划达成率100%。</w:t>
      </w:r>
    </w:p>
    <w:p w14:paraId="3397020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4" w:name="_Toc15009"/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培训</w:t>
      </w:r>
      <w:r>
        <w:t>计划</w:t>
      </w:r>
      <w:r>
        <w:rPr>
          <w:rFonts w:hint="eastAsia"/>
          <w:lang w:val="en-US" w:eastAsia="zh-CN"/>
        </w:rPr>
        <w:t>完成情况</w:t>
      </w:r>
      <w:bookmarkEnd w:id="24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4"/>
        <w:gridCol w:w="744"/>
        <w:gridCol w:w="2730"/>
        <w:gridCol w:w="1571"/>
        <w:gridCol w:w="1742"/>
        <w:gridCol w:w="991"/>
      </w:tblGrid>
      <w:tr w14:paraId="2039D32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4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0423FB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74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3BA133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73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B6693C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培训内容</w:t>
            </w:r>
          </w:p>
        </w:tc>
        <w:tc>
          <w:tcPr>
            <w:tcW w:w="157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A7C920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174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1EA45C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99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E11AE4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状态</w:t>
            </w:r>
          </w:p>
        </w:tc>
      </w:tr>
      <w:tr w14:paraId="18A4A3E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6CA88E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管理</w:t>
            </w:r>
          </w:p>
        </w:tc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8D8472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DEFE5D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新员工入职培训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2D6A7F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入职一周内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AE774A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按时完成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9C867B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Arial" w:eastAsia="宋体"/>
                <w:sz w:val="24"/>
                <w:lang w:eastAsia="zh-CN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已完成</w:t>
            </w:r>
          </w:p>
        </w:tc>
      </w:tr>
      <w:tr w14:paraId="56AB3B1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420B42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管理</w:t>
            </w:r>
          </w:p>
        </w:tc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1FF359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5E9A8C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ITSS运维体系培训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343B12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2025年1月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C9B162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2025年1月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FCEE00"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已完成</w:t>
            </w:r>
          </w:p>
        </w:tc>
      </w:tr>
      <w:tr w14:paraId="7918A5F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FC4498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管理</w:t>
            </w:r>
          </w:p>
        </w:tc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B3EDF1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3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1F6DBF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质量管理培训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8A5076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2025年2月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349C38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2025年2月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FA67A3"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已完成</w:t>
            </w:r>
          </w:p>
        </w:tc>
      </w:tr>
      <w:tr w14:paraId="741310B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15716B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技术</w:t>
            </w:r>
          </w:p>
        </w:tc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219F29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4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03FD68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机房设备基础知识培训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5A4F36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2025年3月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65D7EC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2025年3月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1D7223"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已完成</w:t>
            </w:r>
          </w:p>
        </w:tc>
      </w:tr>
      <w:tr w14:paraId="6A3093A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668694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技术</w:t>
            </w:r>
          </w:p>
        </w:tc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40698D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5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9AF938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现场实施规范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2803FF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2025年3月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67AD65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2025年3月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DFDE6C"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已完成</w:t>
            </w:r>
          </w:p>
        </w:tc>
      </w:tr>
      <w:tr w14:paraId="15689C0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3D2115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技术</w:t>
            </w:r>
          </w:p>
        </w:tc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1B3257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6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51E356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运维工具培训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970DE0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2025年4月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05D8B1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2025年4月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16D4C8"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已完成</w:t>
            </w:r>
          </w:p>
        </w:tc>
      </w:tr>
      <w:tr w14:paraId="17DCE82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2BB5EF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技术</w:t>
            </w:r>
          </w:p>
        </w:tc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06DB2C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7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34120C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机房常见故障培训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CAA586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2025年6月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AAB3E0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2025年6月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7A85FF"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已完成</w:t>
            </w:r>
          </w:p>
        </w:tc>
      </w:tr>
      <w:tr w14:paraId="00402A6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572F72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技术</w:t>
            </w:r>
          </w:p>
        </w:tc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C856FE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8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36ECBC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交付规范培训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332A62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2025年6月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5BCD48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2025年6月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4A67BE"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已完成</w:t>
            </w:r>
          </w:p>
        </w:tc>
      </w:tr>
      <w:tr w14:paraId="10A888B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03B85A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技术</w:t>
            </w:r>
          </w:p>
        </w:tc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FA97D8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9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C96CDE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监控系统培训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5A3382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2025年7月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B541BB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2025年7月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6EACDA"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已完成</w:t>
            </w:r>
          </w:p>
        </w:tc>
      </w:tr>
      <w:tr w14:paraId="24C0192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DDDBB0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操作</w:t>
            </w:r>
          </w:p>
        </w:tc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6125D0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10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14F899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服务台培训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EA4349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2025年8月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EAAFA5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2025年8月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4C7D11"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已完成</w:t>
            </w:r>
          </w:p>
        </w:tc>
      </w:tr>
      <w:tr w14:paraId="546A724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133141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管理</w:t>
            </w:r>
          </w:p>
        </w:tc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5CCE10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11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282420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知识库管理制度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8AE052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2025年9月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1D309A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2025年9月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E95156"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已完成</w:t>
            </w:r>
          </w:p>
        </w:tc>
      </w:tr>
      <w:tr w14:paraId="4CB79B9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899938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管理</w:t>
            </w:r>
          </w:p>
        </w:tc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906E6C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12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5ED130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信息安全风险培训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8C60C6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2025年11月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D8B750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2025年11月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D62163"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已完成</w:t>
            </w:r>
          </w:p>
        </w:tc>
      </w:tr>
      <w:tr w14:paraId="7BAF917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4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60D330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操作</w:t>
            </w:r>
          </w:p>
        </w:tc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DD4E98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13</w:t>
            </w:r>
          </w:p>
        </w:tc>
        <w:tc>
          <w:tcPr>
            <w:tcW w:w="27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68FFDE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备件管理制度培训</w:t>
            </w:r>
          </w:p>
        </w:tc>
        <w:tc>
          <w:tcPr>
            <w:tcW w:w="15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F26F98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2025年12月</w:t>
            </w:r>
          </w:p>
        </w:tc>
        <w:tc>
          <w:tcPr>
            <w:tcW w:w="17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D85377">
            <w:pPr>
              <w:pStyle w:val="31"/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2025年12月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B2E52E">
            <w:pPr>
              <w:keepNext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Arial" w:eastAsia="宋体"/>
                <w:sz w:val="24"/>
                <w:lang w:val="en-US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已完成</w:t>
            </w:r>
          </w:p>
        </w:tc>
      </w:tr>
    </w:tbl>
    <w:p w14:paraId="4F5FA6A2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heading_15"/>
      <w:bookmarkStart w:id="26" w:name="_Toc19841"/>
      <w:r>
        <w:t>培训预算执行情况</w:t>
      </w:r>
      <w:bookmarkEnd w:id="25"/>
      <w:bookmarkEnd w:id="26"/>
    </w:p>
    <w:p w14:paraId="2993D41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7" w:name="_Toc5777"/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培训资金使用情况</w:t>
      </w:r>
      <w:bookmarkEnd w:id="27"/>
    </w:p>
    <w:tbl>
      <w:tblPr>
        <w:tblStyle w:val="22"/>
        <w:tblW w:w="8522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7"/>
        <w:gridCol w:w="2623"/>
        <w:gridCol w:w="2623"/>
        <w:gridCol w:w="1309"/>
      </w:tblGrid>
      <w:tr w14:paraId="331F6F8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6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193A5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部门</w:t>
            </w:r>
          </w:p>
        </w:tc>
        <w:tc>
          <w:tcPr>
            <w:tcW w:w="262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23F7E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预算金额（元）</w:t>
            </w:r>
          </w:p>
        </w:tc>
        <w:tc>
          <w:tcPr>
            <w:tcW w:w="262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AFA16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实际支出（元）</w:t>
            </w:r>
          </w:p>
        </w:tc>
        <w:tc>
          <w:tcPr>
            <w:tcW w:w="130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2CCE44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执行率</w:t>
            </w:r>
          </w:p>
        </w:tc>
      </w:tr>
      <w:tr w14:paraId="33A1F38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4EFA56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F7393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19,000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C63A1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18,800</w:t>
            </w:r>
          </w:p>
        </w:tc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52ACAC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98.9%</w:t>
            </w:r>
          </w:p>
        </w:tc>
      </w:tr>
      <w:tr w14:paraId="1871BF8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78538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技术中心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3E71AF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500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8A65CB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500</w:t>
            </w:r>
          </w:p>
        </w:tc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67958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100%</w:t>
            </w:r>
          </w:p>
        </w:tc>
      </w:tr>
      <w:tr w14:paraId="69293F4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F007FE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质量部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CF345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1,200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6C445D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1,200</w:t>
            </w:r>
          </w:p>
        </w:tc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E4EA6A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100%</w:t>
            </w:r>
          </w:p>
        </w:tc>
      </w:tr>
      <w:tr w14:paraId="4A9E3FE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AF3FF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综合管理部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DBB6B1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1,000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B68719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1,000</w:t>
            </w:r>
          </w:p>
        </w:tc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F915B7">
            <w:pPr>
              <w:pStyle w:val="3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textAlignment w:val="baseline"/>
            </w:pPr>
            <w:r>
              <w:t>100%</w:t>
            </w:r>
          </w:p>
        </w:tc>
      </w:tr>
      <w:tr w14:paraId="5661E58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818A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合计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CDD5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21,700</w:t>
            </w:r>
          </w:p>
        </w:tc>
        <w:tc>
          <w:tcPr>
            <w:tcW w:w="26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4708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21,500</w:t>
            </w:r>
          </w:p>
        </w:tc>
        <w:tc>
          <w:tcPr>
            <w:tcW w:w="130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01E7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99.1%</w:t>
            </w:r>
          </w:p>
        </w:tc>
      </w:tr>
    </w:tbl>
    <w:p w14:paraId="5CEC1FE3">
      <w:pPr>
        <w:pStyle w:val="31"/>
        <w:bidi w:val="0"/>
        <w:rPr>
          <w:rFonts w:hint="default" w:eastAsia="宋体"/>
          <w:lang w:val="en-US" w:eastAsia="zh-CN"/>
        </w:rPr>
      </w:pPr>
      <w:bookmarkStart w:id="28" w:name="heading_16"/>
      <w:r>
        <w:rPr>
          <w:rFonts w:hint="eastAsia"/>
          <w:lang w:val="en-US" w:eastAsia="zh-CN"/>
        </w:rPr>
        <w:t>培训费用使用21500元，剩余费用将继续用于下一年度人员管理计划。</w:t>
      </w:r>
    </w:p>
    <w:p w14:paraId="5C89091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9" w:name="_Toc25121"/>
      <w:r>
        <w:t>培训效果评估</w:t>
      </w:r>
      <w:bookmarkEnd w:id="28"/>
      <w:bookmarkEnd w:id="29"/>
    </w:p>
    <w:p w14:paraId="76D5CA71">
      <w:pPr>
        <w:pStyle w:val="4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所有培训均完成效果评估，平均满意度92分</w:t>
      </w:r>
    </w:p>
    <w:p w14:paraId="07424736">
      <w:pPr>
        <w:pStyle w:val="4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培训后考核通过率100%</w:t>
      </w:r>
    </w:p>
    <w:p w14:paraId="10D556F2">
      <w:pPr>
        <w:pStyle w:val="4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参训人员反馈培训内容实用，对工作有指导作用</w:t>
      </w:r>
    </w:p>
    <w:p w14:paraId="68611AE8">
      <w:pPr>
        <w:pStyle w:val="30"/>
        <w:bidi w:val="0"/>
        <w:rPr>
          <w:rFonts w:hint="eastAsia"/>
          <w:lang w:val="en-US" w:eastAsia="zh-CN"/>
        </w:rPr>
      </w:pPr>
      <w:bookmarkStart w:id="30" w:name="_Toc14987"/>
      <w:r>
        <w:rPr>
          <w:rFonts w:hint="eastAsia"/>
          <w:lang w:val="en-US" w:eastAsia="zh-CN"/>
        </w:rPr>
        <w:t>关键岗位备份计划执行情况</w:t>
      </w:r>
      <w:bookmarkEnd w:id="30"/>
    </w:p>
    <w:p w14:paraId="2CA39321">
      <w:pPr>
        <w:pStyle w:val="32"/>
        <w:bidi w:val="0"/>
        <w:rPr>
          <w:rFonts w:hint="eastAsia"/>
          <w:lang w:val="en-US" w:eastAsia="zh-CN"/>
        </w:rPr>
      </w:pPr>
      <w:bookmarkStart w:id="31" w:name="_Toc4442"/>
      <w:r>
        <w:rPr>
          <w:rFonts w:hint="eastAsia"/>
          <w:lang w:val="en-US" w:eastAsia="zh-CN"/>
        </w:rPr>
        <w:t>备份完成情况</w:t>
      </w:r>
      <w:bookmarkEnd w:id="31"/>
    </w:p>
    <w:p w14:paraId="5E119D9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2" w:name="_Toc24569"/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备份</w:t>
      </w:r>
      <w:r>
        <w:t>计划</w:t>
      </w:r>
      <w:r>
        <w:rPr>
          <w:rFonts w:hint="eastAsia"/>
          <w:lang w:val="en-US" w:eastAsia="zh-CN"/>
        </w:rPr>
        <w:t>完成情况</w:t>
      </w:r>
      <w:bookmarkEnd w:id="32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5"/>
        <w:gridCol w:w="1564"/>
        <w:gridCol w:w="1128"/>
        <w:gridCol w:w="1664"/>
        <w:gridCol w:w="1664"/>
        <w:gridCol w:w="917"/>
      </w:tblGrid>
      <w:tr w14:paraId="4FBB8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F1EE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备份岗位</w:t>
            </w:r>
          </w:p>
        </w:tc>
        <w:tc>
          <w:tcPr>
            <w:tcW w:w="156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0345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备份方式</w:t>
            </w:r>
          </w:p>
        </w:tc>
        <w:tc>
          <w:tcPr>
            <w:tcW w:w="112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A9EB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备份人员</w:t>
            </w:r>
          </w:p>
        </w:tc>
        <w:tc>
          <w:tcPr>
            <w:tcW w:w="166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716E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计划完成时间</w:t>
            </w:r>
          </w:p>
        </w:tc>
        <w:tc>
          <w:tcPr>
            <w:tcW w:w="166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268B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实际完成时间</w:t>
            </w:r>
          </w:p>
        </w:tc>
        <w:tc>
          <w:tcPr>
            <w:tcW w:w="91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6FAF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73D43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1C72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运维部经理</w:t>
            </w:r>
          </w:p>
        </w:tc>
        <w:tc>
          <w:tcPr>
            <w:tcW w:w="15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7FAA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内部固定储备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B6F16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刘禹</w:t>
            </w:r>
          </w:p>
        </w:tc>
        <w:tc>
          <w:tcPr>
            <w:tcW w:w="16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F6F8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2025年6月30日</w:t>
            </w:r>
          </w:p>
        </w:tc>
        <w:tc>
          <w:tcPr>
            <w:tcW w:w="16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CA2B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2025年6月25日</w:t>
            </w:r>
          </w:p>
        </w:tc>
        <w:tc>
          <w:tcPr>
            <w:tcW w:w="9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49F20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已完成</w:t>
            </w:r>
          </w:p>
        </w:tc>
      </w:tr>
      <w:tr w14:paraId="06D7D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52ED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运维项目经理</w:t>
            </w:r>
          </w:p>
        </w:tc>
        <w:tc>
          <w:tcPr>
            <w:tcW w:w="15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E86ED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外部不固定储备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D1C6F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6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67B3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2025年3月30日</w:t>
            </w:r>
          </w:p>
        </w:tc>
        <w:tc>
          <w:tcPr>
            <w:tcW w:w="16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9E42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2025年3月28日</w:t>
            </w:r>
          </w:p>
        </w:tc>
        <w:tc>
          <w:tcPr>
            <w:tcW w:w="9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51A9B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  <w:tr w14:paraId="426FF2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C40A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技术中心经理</w:t>
            </w:r>
          </w:p>
        </w:tc>
        <w:tc>
          <w:tcPr>
            <w:tcW w:w="15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4AEB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内部固定储备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F31B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石宝升</w:t>
            </w:r>
          </w:p>
        </w:tc>
        <w:tc>
          <w:tcPr>
            <w:tcW w:w="16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D533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2025年9月30日</w:t>
            </w:r>
          </w:p>
        </w:tc>
        <w:tc>
          <w:tcPr>
            <w:tcW w:w="16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E66E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2025年9月25日</w:t>
            </w:r>
          </w:p>
        </w:tc>
        <w:tc>
          <w:tcPr>
            <w:tcW w:w="9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19DDA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  <w:tr w14:paraId="1BBBCB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1ABB9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质量部经理</w:t>
            </w:r>
          </w:p>
        </w:tc>
        <w:tc>
          <w:tcPr>
            <w:tcW w:w="15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FC96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内部固定储备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9197D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魏娜杉</w:t>
            </w:r>
          </w:p>
        </w:tc>
        <w:tc>
          <w:tcPr>
            <w:tcW w:w="16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B764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2025年10月30日</w:t>
            </w:r>
          </w:p>
        </w:tc>
        <w:tc>
          <w:tcPr>
            <w:tcW w:w="16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4161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2025年10月28日</w:t>
            </w:r>
          </w:p>
        </w:tc>
        <w:tc>
          <w:tcPr>
            <w:tcW w:w="9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55ECAE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  <w:tr w14:paraId="02925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8979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质量部专员</w:t>
            </w:r>
          </w:p>
        </w:tc>
        <w:tc>
          <w:tcPr>
            <w:tcW w:w="15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4CCB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外部不固定储备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346C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6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517B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2025年7月30日</w:t>
            </w:r>
          </w:p>
        </w:tc>
        <w:tc>
          <w:tcPr>
            <w:tcW w:w="16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6477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2025年7月28日</w:t>
            </w:r>
          </w:p>
        </w:tc>
        <w:tc>
          <w:tcPr>
            <w:tcW w:w="9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71FCC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  <w:tr w14:paraId="4676B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B6477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综合管理部经理</w:t>
            </w:r>
          </w:p>
        </w:tc>
        <w:tc>
          <w:tcPr>
            <w:tcW w:w="15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0040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内部固定储备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A1BE8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靳春阳</w:t>
            </w:r>
          </w:p>
        </w:tc>
        <w:tc>
          <w:tcPr>
            <w:tcW w:w="16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3D46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2025年9月30日</w:t>
            </w:r>
          </w:p>
        </w:tc>
        <w:tc>
          <w:tcPr>
            <w:tcW w:w="16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DD0D3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2025年9月28日</w:t>
            </w:r>
          </w:p>
        </w:tc>
        <w:tc>
          <w:tcPr>
            <w:tcW w:w="9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1376C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已完成</w:t>
            </w:r>
          </w:p>
        </w:tc>
      </w:tr>
    </w:tbl>
    <w:p w14:paraId="5B861100">
      <w:pPr>
        <w:pStyle w:val="3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所有岗位均完成备份。</w:t>
      </w:r>
    </w:p>
    <w:p w14:paraId="3055D116">
      <w:pPr>
        <w:pStyle w:val="32"/>
        <w:bidi w:val="0"/>
        <w:rPr>
          <w:rFonts w:hint="eastAsia"/>
          <w:lang w:val="en-US" w:eastAsia="zh-CN"/>
        </w:rPr>
      </w:pPr>
      <w:bookmarkStart w:id="33" w:name="_Toc17400"/>
      <w:r>
        <w:rPr>
          <w:rFonts w:hint="eastAsia"/>
          <w:lang w:val="en-US" w:eastAsia="zh-CN"/>
        </w:rPr>
        <w:t>备份人员能力达标情况</w:t>
      </w:r>
      <w:bookmarkEnd w:id="33"/>
    </w:p>
    <w:p w14:paraId="795F5BE9">
      <w:pPr>
        <w:pStyle w:val="31"/>
        <w:rPr>
          <w:rFonts w:hint="eastAsia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年度备份人员能力达标率达到100%，圆满完成年度目标。所有内部固定储备人员均已完成能力验证，验证内容包括岗位技能掌握程度、应急响应流程熟悉度以及独立顶岗能力，验证结果全部合格。外部不固定储备人员信息已全部录入《外部人才储备台账》，并建立了定期联系机制，确保储备信息的及时更新和有效性。对于已通过能力验证的备份人员，已纳入公司关键岗位人才库，作为岗位空缺时的优先补充对象。</w:t>
      </w:r>
    </w:p>
    <w:p w14:paraId="24FCE413">
      <w:pPr>
        <w:pStyle w:val="30"/>
        <w:bidi w:val="0"/>
        <w:rPr>
          <w:rFonts w:hint="default"/>
          <w:lang w:val="en-US" w:eastAsia="zh-CN"/>
        </w:rPr>
      </w:pPr>
      <w:bookmarkStart w:id="34" w:name="_Toc16746"/>
      <w:r>
        <w:rPr>
          <w:rFonts w:hint="eastAsia"/>
          <w:lang w:val="en-US" w:eastAsia="zh-CN"/>
        </w:rPr>
        <w:t>人员绩效考核执行情况</w:t>
      </w:r>
      <w:bookmarkEnd w:id="34"/>
    </w:p>
    <w:p w14:paraId="448D836B">
      <w:pPr>
        <w:pStyle w:val="32"/>
        <w:bidi w:val="0"/>
        <w:rPr>
          <w:rFonts w:hint="default"/>
          <w:lang w:val="en-US" w:eastAsia="zh-CN"/>
        </w:rPr>
      </w:pPr>
      <w:bookmarkStart w:id="35" w:name="_Toc6623"/>
      <w:r>
        <w:rPr>
          <w:rFonts w:hint="eastAsia"/>
          <w:lang w:val="en-US" w:eastAsia="zh-CN"/>
        </w:rPr>
        <w:t>考核完成情况</w:t>
      </w:r>
      <w:bookmarkEnd w:id="35"/>
    </w:p>
    <w:p w14:paraId="0671FF1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6" w:name="_Toc14524"/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绩效考核</w:t>
      </w:r>
      <w:r>
        <w:t>计划</w:t>
      </w:r>
      <w:r>
        <w:rPr>
          <w:rFonts w:hint="eastAsia"/>
          <w:lang w:val="en-US" w:eastAsia="zh-CN"/>
        </w:rPr>
        <w:t>完成情况</w:t>
      </w:r>
      <w:bookmarkEnd w:id="36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1"/>
        <w:gridCol w:w="1865"/>
        <w:gridCol w:w="1865"/>
        <w:gridCol w:w="2125"/>
        <w:gridCol w:w="1346"/>
      </w:tblGrid>
      <w:tr w14:paraId="7B92D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C5E608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考核类型</w:t>
            </w:r>
          </w:p>
        </w:tc>
        <w:tc>
          <w:tcPr>
            <w:tcW w:w="18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3ED0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考核周期</w:t>
            </w:r>
          </w:p>
        </w:tc>
        <w:tc>
          <w:tcPr>
            <w:tcW w:w="186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9B3B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应考核人次</w:t>
            </w:r>
          </w:p>
        </w:tc>
        <w:tc>
          <w:tcPr>
            <w:tcW w:w="212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368E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实际考核人次</w:t>
            </w:r>
          </w:p>
        </w:tc>
        <w:tc>
          <w:tcPr>
            <w:tcW w:w="134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4DD1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完成率</w:t>
            </w:r>
          </w:p>
        </w:tc>
      </w:tr>
      <w:tr w14:paraId="044D7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A8E49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月度考核</w:t>
            </w: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7679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每月一次</w:t>
            </w: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FB66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96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E1F8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96</w:t>
            </w:r>
          </w:p>
        </w:tc>
        <w:tc>
          <w:tcPr>
            <w:tcW w:w="13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F58423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2E81F3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FCF15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季度考核</w:t>
            </w: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5618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每季度一次</w:t>
            </w: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11C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EFAA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32</w:t>
            </w:r>
          </w:p>
        </w:tc>
        <w:tc>
          <w:tcPr>
            <w:tcW w:w="13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D1D9F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7D26C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AF63D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年度考核</w:t>
            </w: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2CBC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每年一次</w:t>
            </w: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53A1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619C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3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4E5A7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2AC09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49474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FF55B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</w:p>
        </w:tc>
        <w:tc>
          <w:tcPr>
            <w:tcW w:w="186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87DC0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Style w:val="25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136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3FF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/>
              </w:rPr>
            </w:pPr>
            <w:r>
              <w:rPr>
                <w:rStyle w:val="25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136</w:t>
            </w:r>
          </w:p>
        </w:tc>
        <w:tc>
          <w:tcPr>
            <w:tcW w:w="13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2EF54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25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</w:tr>
    </w:tbl>
    <w:p w14:paraId="635C8188">
      <w:pPr>
        <w:pStyle w:val="32"/>
        <w:bidi w:val="0"/>
        <w:rPr>
          <w:rFonts w:hint="default"/>
          <w:lang w:val="en-US" w:eastAsia="zh-CN"/>
        </w:rPr>
      </w:pPr>
      <w:bookmarkStart w:id="37" w:name="_Toc11280"/>
      <w:r>
        <w:rPr>
          <w:rFonts w:hint="eastAsia"/>
          <w:lang w:val="en-US" w:eastAsia="zh-CN"/>
        </w:rPr>
        <w:t>绩效考核及时完成率</w:t>
      </w:r>
      <w:bookmarkEnd w:id="37"/>
    </w:p>
    <w:p w14:paraId="4C5DE49B">
      <w:pPr>
        <w:pStyle w:val="31"/>
        <w:rPr>
          <w:rFonts w:hint="default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本年度绩效考核及时完成率达到100%，圆满完成年度目标。全年应开展月度考核12次、季度考核4次、年度考核1次，共计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136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人次考核，全部在规定时间内完成。综合管理部每月5日前完成上月度考核材料的收集、汇总和结果发布，未出现延期或漏报情况。对于考核过程中出现的材料提交不及时等问题，综合管理部及时进行通报提醒，并纳入部门负责人月度绩效考核，有效保障了考核工作的规范性和时效性。员工对考核结果的申诉均在规定时限内完成复核并反馈，申诉处理满意度100%。</w:t>
      </w:r>
    </w:p>
    <w:p w14:paraId="45C31EBE">
      <w:pPr>
        <w:pStyle w:val="32"/>
        <w:bidi w:val="0"/>
        <w:rPr>
          <w:rFonts w:hint="default"/>
          <w:lang w:val="en-US" w:eastAsia="zh-CN"/>
        </w:rPr>
      </w:pPr>
      <w:bookmarkStart w:id="38" w:name="_Toc14591"/>
      <w:r>
        <w:rPr>
          <w:rFonts w:hint="eastAsia"/>
          <w:lang w:val="en-US" w:eastAsia="zh-CN"/>
        </w:rPr>
        <w:t>考核结果分布</w:t>
      </w:r>
      <w:bookmarkEnd w:id="38"/>
    </w:p>
    <w:p w14:paraId="16E63D5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9" w:name="_Toc17820"/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绩效考核人员占比</w:t>
      </w:r>
      <w:bookmarkEnd w:id="39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1"/>
        <w:gridCol w:w="2294"/>
        <w:gridCol w:w="2294"/>
        <w:gridCol w:w="1733"/>
      </w:tblGrid>
      <w:tr w14:paraId="2EDB9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tblHeader/>
          <w:jc w:val="center"/>
        </w:trPr>
        <w:tc>
          <w:tcPr>
            <w:tcW w:w="220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D73EF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等级</w:t>
            </w:r>
          </w:p>
        </w:tc>
        <w:tc>
          <w:tcPr>
            <w:tcW w:w="229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71FDF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月度平均占比</w:t>
            </w:r>
          </w:p>
        </w:tc>
        <w:tc>
          <w:tcPr>
            <w:tcW w:w="229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5638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季度平均占比</w:t>
            </w:r>
          </w:p>
        </w:tc>
        <w:tc>
          <w:tcPr>
            <w:tcW w:w="173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34A0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年度占比</w:t>
            </w:r>
          </w:p>
        </w:tc>
      </w:tr>
      <w:tr w14:paraId="1EACA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465505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优秀（A级）</w:t>
            </w:r>
          </w:p>
        </w:tc>
        <w:tc>
          <w:tcPr>
            <w:tcW w:w="22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9204E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20%</w:t>
            </w:r>
          </w:p>
        </w:tc>
        <w:tc>
          <w:tcPr>
            <w:tcW w:w="22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35EF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20%</w:t>
            </w:r>
          </w:p>
        </w:tc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95E59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25%</w:t>
            </w:r>
          </w:p>
        </w:tc>
      </w:tr>
      <w:tr w14:paraId="2EE8D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431E6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良好（B级）</w:t>
            </w:r>
          </w:p>
        </w:tc>
        <w:tc>
          <w:tcPr>
            <w:tcW w:w="22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4A2F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70%</w:t>
            </w:r>
          </w:p>
        </w:tc>
        <w:tc>
          <w:tcPr>
            <w:tcW w:w="22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4EBA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70%</w:t>
            </w:r>
          </w:p>
        </w:tc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CA1F5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65%</w:t>
            </w:r>
          </w:p>
        </w:tc>
      </w:tr>
      <w:tr w14:paraId="750C7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FE43E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合格（C级）</w:t>
            </w:r>
          </w:p>
        </w:tc>
        <w:tc>
          <w:tcPr>
            <w:tcW w:w="22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9C83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22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B1BC1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10%</w:t>
            </w:r>
          </w:p>
        </w:tc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369D8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10%</w:t>
            </w:r>
          </w:p>
        </w:tc>
      </w:tr>
      <w:tr w14:paraId="79A77B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20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E26C4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待改进（D级）</w:t>
            </w:r>
          </w:p>
        </w:tc>
        <w:tc>
          <w:tcPr>
            <w:tcW w:w="22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F0A7F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0%</w:t>
            </w:r>
          </w:p>
        </w:tc>
        <w:tc>
          <w:tcPr>
            <w:tcW w:w="22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093C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0%</w:t>
            </w:r>
          </w:p>
        </w:tc>
        <w:tc>
          <w:tcPr>
            <w:tcW w:w="17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FE7C2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0%</w:t>
            </w:r>
          </w:p>
        </w:tc>
      </w:tr>
    </w:tbl>
    <w:p w14:paraId="268E18CB">
      <w:pPr>
        <w:pStyle w:val="30"/>
        <w:bidi w:val="0"/>
        <w:rPr>
          <w:rFonts w:hint="eastAsia"/>
          <w:lang w:val="en-US" w:eastAsia="zh-CN"/>
        </w:rPr>
      </w:pPr>
      <w:bookmarkStart w:id="40" w:name="_Toc17694"/>
      <w:r>
        <w:rPr>
          <w:rFonts w:hint="eastAsia"/>
          <w:lang w:val="en-US" w:eastAsia="zh-CN"/>
        </w:rPr>
        <w:t>人员技能评定执行情况</w:t>
      </w:r>
      <w:bookmarkEnd w:id="40"/>
    </w:p>
    <w:p w14:paraId="1929D2BE">
      <w:pPr>
        <w:pStyle w:val="32"/>
        <w:bidi w:val="0"/>
        <w:rPr>
          <w:rFonts w:hint="eastAsia"/>
          <w:lang w:val="en-US" w:eastAsia="zh-CN"/>
        </w:rPr>
      </w:pPr>
      <w:bookmarkStart w:id="41" w:name="_Toc20391"/>
      <w:r>
        <w:rPr>
          <w:rFonts w:hint="eastAsia"/>
          <w:lang w:val="en-US" w:eastAsia="zh-CN"/>
        </w:rPr>
        <w:t>评定完成情况</w:t>
      </w:r>
      <w:bookmarkEnd w:id="41"/>
    </w:p>
    <w:p w14:paraId="77509D2E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2" w:name="_Toc5653"/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技能评定完成情况</w:t>
      </w:r>
      <w:bookmarkEnd w:id="42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2"/>
        <w:gridCol w:w="1525"/>
        <w:gridCol w:w="1319"/>
        <w:gridCol w:w="1730"/>
        <w:gridCol w:w="1129"/>
        <w:gridCol w:w="1117"/>
      </w:tblGrid>
      <w:tr w14:paraId="03E07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70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F8FAE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评定类型</w:t>
            </w:r>
          </w:p>
        </w:tc>
        <w:tc>
          <w:tcPr>
            <w:tcW w:w="152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8707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评定周期</w:t>
            </w:r>
          </w:p>
        </w:tc>
        <w:tc>
          <w:tcPr>
            <w:tcW w:w="131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1525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应评人数</w:t>
            </w:r>
          </w:p>
        </w:tc>
        <w:tc>
          <w:tcPr>
            <w:tcW w:w="173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E9DF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实际评定人数</w:t>
            </w:r>
          </w:p>
        </w:tc>
        <w:tc>
          <w:tcPr>
            <w:tcW w:w="112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ECBB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覆盖率</w:t>
            </w:r>
          </w:p>
        </w:tc>
        <w:tc>
          <w:tcPr>
            <w:tcW w:w="111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46AB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完成率</w:t>
            </w:r>
          </w:p>
        </w:tc>
      </w:tr>
      <w:tr w14:paraId="034D5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BF87E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半年度技能评定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87B73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每半年一次</w:t>
            </w:r>
          </w:p>
        </w:tc>
        <w:tc>
          <w:tcPr>
            <w:tcW w:w="13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0E88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75855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6FA5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1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6B7AD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4BB403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3A45E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入职技能评定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A223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入职时</w:t>
            </w:r>
          </w:p>
        </w:tc>
        <w:tc>
          <w:tcPr>
            <w:tcW w:w="131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4FF7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9B6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05BB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1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353EA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</w:tr>
      <w:tr w14:paraId="62F04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0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82542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晋升技能评定</w:t>
            </w:r>
          </w:p>
        </w:tc>
        <w:tc>
          <w:tcPr>
            <w:tcW w:w="15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4D9F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晋升前</w:t>
            </w:r>
          </w:p>
        </w:tc>
        <w:tc>
          <w:tcPr>
            <w:tcW w:w="13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027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7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093D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E4F7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11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C4BC7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</w:t>
            </w:r>
          </w:p>
        </w:tc>
      </w:tr>
    </w:tbl>
    <w:p w14:paraId="5D294D74">
      <w:pPr>
        <w:pStyle w:val="32"/>
        <w:bidi w:val="0"/>
        <w:rPr>
          <w:rFonts w:hint="eastAsia"/>
          <w:lang w:val="en-US" w:eastAsia="zh-CN"/>
        </w:rPr>
      </w:pPr>
      <w:bookmarkStart w:id="43" w:name="_Toc3150"/>
      <w:r>
        <w:rPr>
          <w:rFonts w:hint="eastAsia"/>
          <w:lang w:val="en-US" w:eastAsia="zh-CN"/>
        </w:rPr>
        <w:t>技能评定结果</w:t>
      </w:r>
      <w:bookmarkEnd w:id="43"/>
    </w:p>
    <w:p w14:paraId="35FE134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44" w:name="_Toc7762"/>
      <w:r>
        <w:rPr>
          <w:rFonts w:hint="default"/>
          <w:lang w:val="en-US" w:eastAsia="zh-CN"/>
        </w:rPr>
        <w:t xml:space="preserve"> </w:t>
      </w:r>
      <w:r>
        <w:t>2025年度人员</w:t>
      </w:r>
      <w:r>
        <w:rPr>
          <w:rFonts w:hint="eastAsia"/>
          <w:lang w:val="en-US" w:eastAsia="zh-CN"/>
        </w:rPr>
        <w:t>技能评定结果</w:t>
      </w:r>
      <w:bookmarkEnd w:id="44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1"/>
        <w:gridCol w:w="1892"/>
        <w:gridCol w:w="1892"/>
        <w:gridCol w:w="2257"/>
      </w:tblGrid>
      <w:tr w14:paraId="5B64F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48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4AE8F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技能等级</w:t>
            </w:r>
          </w:p>
        </w:tc>
        <w:tc>
          <w:tcPr>
            <w:tcW w:w="189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DCDB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上半年</w:t>
            </w:r>
          </w:p>
        </w:tc>
        <w:tc>
          <w:tcPr>
            <w:tcW w:w="189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4A15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下半年</w:t>
            </w:r>
          </w:p>
        </w:tc>
        <w:tc>
          <w:tcPr>
            <w:tcW w:w="225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FA532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变化趋势</w:t>
            </w:r>
          </w:p>
        </w:tc>
      </w:tr>
      <w:tr w14:paraId="26C730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C8360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A级（专家）</w:t>
            </w: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837D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1人</w:t>
            </w: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C0491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2人</w:t>
            </w:r>
          </w:p>
        </w:tc>
        <w:tc>
          <w:tcPr>
            <w:tcW w:w="22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F2827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↑ 上升</w:t>
            </w:r>
          </w:p>
        </w:tc>
      </w:tr>
      <w:tr w14:paraId="1A526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21164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B级（高级）</w:t>
            </w: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17AA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人</w:t>
            </w: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203B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4人</w:t>
            </w:r>
          </w:p>
        </w:tc>
        <w:tc>
          <w:tcPr>
            <w:tcW w:w="22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074C6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  <w:lang w:val="en-US" w:eastAsia="zh-CN"/>
              </w:rPr>
              <w:t>不变</w:t>
            </w:r>
          </w:p>
        </w:tc>
      </w:tr>
      <w:tr w14:paraId="73689F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6EE8E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C级（中级）</w:t>
            </w: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5498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3人</w:t>
            </w: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B7DE0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2人</w:t>
            </w:r>
          </w:p>
        </w:tc>
        <w:tc>
          <w:tcPr>
            <w:tcW w:w="22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62382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↓ 下降</w:t>
            </w:r>
          </w:p>
        </w:tc>
      </w:tr>
      <w:tr w14:paraId="4C1A6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48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AE88D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D级（初级）</w:t>
            </w: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09EA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人</w:t>
            </w:r>
          </w:p>
        </w:tc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362A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0人</w:t>
            </w:r>
          </w:p>
        </w:tc>
        <w:tc>
          <w:tcPr>
            <w:tcW w:w="22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A2ADC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↓ 下降</w:t>
            </w:r>
          </w:p>
        </w:tc>
      </w:tr>
    </w:tbl>
    <w:p w14:paraId="6C997FE5">
      <w:pPr>
        <w:pStyle w:val="31"/>
        <w:rPr>
          <w:rFonts w:hint="eastAsia"/>
          <w:lang w:val="en-US" w:eastAsia="zh-CN"/>
        </w:rPr>
      </w:pPr>
    </w:p>
    <w:p w14:paraId="67C93F85">
      <w:pPr>
        <w:pStyle w:val="32"/>
        <w:bidi w:val="0"/>
        <w:rPr>
          <w:rFonts w:hint="default"/>
          <w:lang w:val="en-US" w:eastAsia="zh-CN"/>
        </w:rPr>
      </w:pPr>
      <w:bookmarkStart w:id="45" w:name="_Toc18121"/>
      <w:r>
        <w:rPr>
          <w:rFonts w:hint="eastAsia"/>
          <w:lang w:val="en-US" w:eastAsia="zh-CN"/>
        </w:rPr>
        <w:t>技能评定成效</w:t>
      </w:r>
      <w:bookmarkEnd w:id="45"/>
    </w:p>
    <w:p w14:paraId="1326AEDE">
      <w:pPr>
        <w:pStyle w:val="31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技能评价覆盖率100%，达到目标值</w:t>
      </w:r>
    </w:p>
    <w:p w14:paraId="4F1988B1">
      <w:pPr>
        <w:pStyle w:val="31"/>
        <w:numPr>
          <w:ilvl w:val="0"/>
          <w:numId w:val="5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高等级人员（A+B级）占比从</w:t>
      </w:r>
      <w:bookmarkStart w:id="51" w:name="_GoBack"/>
      <w:r>
        <w:rPr>
          <w:rFonts w:hint="eastAsia"/>
          <w:lang w:val="en-US" w:eastAsia="zh-CN"/>
        </w:rPr>
        <w:t>62.5</w:t>
      </w:r>
      <w:bookmarkEnd w:id="51"/>
      <w:r>
        <w:rPr>
          <w:rFonts w:hint="default"/>
          <w:lang w:val="en-US" w:eastAsia="zh-CN"/>
        </w:rPr>
        <w:t>%提升至75%</w:t>
      </w:r>
    </w:p>
    <w:p w14:paraId="1B53437F">
      <w:pPr>
        <w:pStyle w:val="30"/>
        <w:bidi w:val="0"/>
        <w:rPr>
          <w:rFonts w:hint="eastAsia"/>
          <w:lang w:val="en-US" w:eastAsia="zh-CN"/>
        </w:rPr>
      </w:pPr>
      <w:bookmarkStart w:id="46" w:name="_Toc30323"/>
      <w:r>
        <w:rPr>
          <w:rFonts w:hint="eastAsia"/>
          <w:lang w:val="en-US" w:eastAsia="zh-CN"/>
        </w:rPr>
        <w:t>总结与下年度展望</w:t>
      </w:r>
      <w:bookmarkEnd w:id="46"/>
    </w:p>
    <w:p w14:paraId="0F65264C">
      <w:pPr>
        <w:pStyle w:val="32"/>
        <w:bidi w:val="0"/>
        <w:rPr>
          <w:rFonts w:hint="eastAsia"/>
          <w:lang w:val="en-US" w:eastAsia="zh-CN"/>
        </w:rPr>
      </w:pPr>
      <w:bookmarkStart w:id="47" w:name="_Toc30930"/>
      <w:r>
        <w:rPr>
          <w:rFonts w:hint="eastAsia"/>
          <w:lang w:val="en-US" w:eastAsia="zh-CN"/>
        </w:rPr>
        <w:t>年度总体评价</w:t>
      </w:r>
      <w:bookmarkEnd w:id="47"/>
    </w:p>
    <w:p w14:paraId="4A1532F1">
      <w:pPr>
        <w:pStyle w:val="3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人员招聘、储备、培训、备份指标全都超额完成，绩效考核及技能评价指标也达到KPI要求。保证了运维工作的平稳进行。但是在人员招聘与储备方面存在的问题，综合管理部应当在下一年度重点跟踪。</w:t>
      </w:r>
    </w:p>
    <w:p w14:paraId="34BBB84F">
      <w:pPr>
        <w:pStyle w:val="32"/>
        <w:bidi w:val="0"/>
        <w:rPr>
          <w:rFonts w:hint="eastAsia"/>
          <w:lang w:val="en-US" w:eastAsia="zh-CN"/>
        </w:rPr>
      </w:pPr>
      <w:bookmarkStart w:id="48" w:name="_Toc29073"/>
      <w:r>
        <w:rPr>
          <w:rFonts w:hint="eastAsia"/>
          <w:lang w:val="en-US" w:eastAsia="zh-CN"/>
        </w:rPr>
        <w:t>年度工作亮点</w:t>
      </w:r>
      <w:bookmarkEnd w:id="48"/>
    </w:p>
    <w:p w14:paraId="79130C2F">
      <w:pPr>
        <w:pStyle w:val="31"/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招聘工作：全年招聘计划100%完成，所有岗位按时到岗</w:t>
      </w:r>
    </w:p>
    <w:p w14:paraId="19CAE069">
      <w:pPr>
        <w:pStyle w:val="31"/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培训工作：13项培训全部按计划完成，培训预算执行率99.1%</w:t>
      </w:r>
    </w:p>
    <w:p w14:paraId="5F614CAC">
      <w:pPr>
        <w:pStyle w:val="31"/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备份机制：关键岗位备份机制全面建立，能力达标率100%</w:t>
      </w:r>
    </w:p>
    <w:p w14:paraId="6935B5C2">
      <w:pPr>
        <w:pStyle w:val="31"/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技能提升：高等级人员占比从62.5%提升至75%，技能结构持续优化</w:t>
      </w:r>
    </w:p>
    <w:p w14:paraId="64773392">
      <w:pPr>
        <w:pStyle w:val="31"/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绩效考核：全年136人次考核全部按时完成，无延期</w:t>
      </w:r>
    </w:p>
    <w:p w14:paraId="7239EED2">
      <w:pPr>
        <w:pStyle w:val="32"/>
        <w:bidi w:val="0"/>
        <w:rPr>
          <w:rFonts w:hint="default"/>
          <w:lang w:val="en-US" w:eastAsia="zh-CN"/>
        </w:rPr>
      </w:pPr>
      <w:bookmarkStart w:id="49" w:name="_Toc11250"/>
      <w:r>
        <w:rPr>
          <w:rFonts w:hint="eastAsia"/>
          <w:lang w:val="en-US" w:eastAsia="zh-CN"/>
        </w:rPr>
        <w:t>下年度工作重点</w:t>
      </w:r>
      <w:bookmarkEnd w:id="49"/>
    </w:p>
    <w:p w14:paraId="684B13C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0" w:name="_Toc17072"/>
      <w:r>
        <w:rPr>
          <w:rFonts w:hint="default"/>
          <w:lang w:val="en-US" w:eastAsia="zh-CN"/>
        </w:rPr>
        <w:t xml:space="preserve"> </w:t>
      </w:r>
      <w:r>
        <w:t>202</w:t>
      </w:r>
      <w:r>
        <w:rPr>
          <w:rFonts w:hint="eastAsia"/>
          <w:lang w:val="en-US" w:eastAsia="zh-CN"/>
        </w:rPr>
        <w:t>6年度工作重点</w:t>
      </w:r>
      <w:bookmarkEnd w:id="50"/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6"/>
        <w:gridCol w:w="2822"/>
        <w:gridCol w:w="3106"/>
        <w:gridCol w:w="1878"/>
      </w:tblGrid>
      <w:tr w14:paraId="42F08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1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14BC3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282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DEEB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工作重点</w:t>
            </w:r>
          </w:p>
        </w:tc>
        <w:tc>
          <w:tcPr>
            <w:tcW w:w="310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6C9C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目标</w:t>
            </w:r>
          </w:p>
        </w:tc>
        <w:tc>
          <w:tcPr>
            <w:tcW w:w="187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69F8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责任人</w:t>
            </w:r>
          </w:p>
        </w:tc>
      </w:tr>
      <w:tr w14:paraId="55103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FBE89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8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5062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优化招聘渠道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1C66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建立多元化人才库</w:t>
            </w:r>
          </w:p>
        </w:tc>
        <w:tc>
          <w:tcPr>
            <w:tcW w:w="18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AF733B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综合管理部经理</w:t>
            </w:r>
          </w:p>
        </w:tc>
      </w:tr>
      <w:tr w14:paraId="4170B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02E0A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8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9C18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加强储备人员实战培养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47C4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每季度安排顶岗实习</w:t>
            </w:r>
          </w:p>
        </w:tc>
        <w:tc>
          <w:tcPr>
            <w:tcW w:w="18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1EB55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运维部经理</w:t>
            </w:r>
          </w:p>
        </w:tc>
      </w:tr>
      <w:tr w14:paraId="18549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C8379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8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26E9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开展进阶技术培训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2D4C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提升高级技术人员占比</w:t>
            </w:r>
          </w:p>
        </w:tc>
        <w:tc>
          <w:tcPr>
            <w:tcW w:w="18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83529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技术中心经理</w:t>
            </w:r>
          </w:p>
        </w:tc>
      </w:tr>
      <w:tr w14:paraId="57732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6D5ED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8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88851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完善备份机制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FBAB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实现关键岗位AB角全覆盖</w:t>
            </w:r>
          </w:p>
        </w:tc>
        <w:tc>
          <w:tcPr>
            <w:tcW w:w="18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A058D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综合管理部经理</w:t>
            </w:r>
          </w:p>
        </w:tc>
      </w:tr>
      <w:tr w14:paraId="794B8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1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09512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28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DC19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优化绩效考核体系</w:t>
            </w:r>
          </w:p>
        </w:tc>
        <w:tc>
          <w:tcPr>
            <w:tcW w:w="31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9EDB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提升考核精准度</w:t>
            </w:r>
          </w:p>
        </w:tc>
        <w:tc>
          <w:tcPr>
            <w:tcW w:w="18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76661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质量部经理</w:t>
            </w:r>
          </w:p>
        </w:tc>
      </w:tr>
    </w:tbl>
    <w:p w14:paraId="0A9A4EDC">
      <w:pPr>
        <w:pStyle w:val="31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0DBF5E"/>
    <w:multiLevelType w:val="singleLevel"/>
    <w:tmpl w:val="8A0DBF5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A99E3BB3"/>
    <w:multiLevelType w:val="singleLevel"/>
    <w:tmpl w:val="A99E3BB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8195BE3"/>
    <w:multiLevelType w:val="singleLevel"/>
    <w:tmpl w:val="D8195BE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36CA819F"/>
    <w:multiLevelType w:val="singleLevel"/>
    <w:tmpl w:val="36CA819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3B422474"/>
    <w:multiLevelType w:val="singleLevel"/>
    <w:tmpl w:val="3B42247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991EFD"/>
    <w:rsid w:val="017716F4"/>
    <w:rsid w:val="01C25065"/>
    <w:rsid w:val="01E813FA"/>
    <w:rsid w:val="01E90172"/>
    <w:rsid w:val="02025461"/>
    <w:rsid w:val="031E451D"/>
    <w:rsid w:val="03F4527E"/>
    <w:rsid w:val="05076B8A"/>
    <w:rsid w:val="062F07EF"/>
    <w:rsid w:val="068D152A"/>
    <w:rsid w:val="06A64F55"/>
    <w:rsid w:val="0874277D"/>
    <w:rsid w:val="0B2758EA"/>
    <w:rsid w:val="0D106D9B"/>
    <w:rsid w:val="0D1E507E"/>
    <w:rsid w:val="112F3D99"/>
    <w:rsid w:val="11CC7109"/>
    <w:rsid w:val="120C5CF6"/>
    <w:rsid w:val="120F5BC5"/>
    <w:rsid w:val="13702B73"/>
    <w:rsid w:val="137926DE"/>
    <w:rsid w:val="13A520F1"/>
    <w:rsid w:val="13F866C4"/>
    <w:rsid w:val="14524026"/>
    <w:rsid w:val="14961BDF"/>
    <w:rsid w:val="17127A9D"/>
    <w:rsid w:val="19C42189"/>
    <w:rsid w:val="1D570020"/>
    <w:rsid w:val="1D9078B2"/>
    <w:rsid w:val="1DE21613"/>
    <w:rsid w:val="1E066854"/>
    <w:rsid w:val="1F0C0D9F"/>
    <w:rsid w:val="2079464D"/>
    <w:rsid w:val="21865714"/>
    <w:rsid w:val="22C14047"/>
    <w:rsid w:val="22D30A28"/>
    <w:rsid w:val="23FE7D27"/>
    <w:rsid w:val="25BD151C"/>
    <w:rsid w:val="26CD578F"/>
    <w:rsid w:val="27B96E8B"/>
    <w:rsid w:val="2E6B420B"/>
    <w:rsid w:val="2EA52F70"/>
    <w:rsid w:val="2EF10A6E"/>
    <w:rsid w:val="2F23729E"/>
    <w:rsid w:val="2F642A08"/>
    <w:rsid w:val="2FAD754E"/>
    <w:rsid w:val="33506B81"/>
    <w:rsid w:val="35AC1A4F"/>
    <w:rsid w:val="3A543DA5"/>
    <w:rsid w:val="3AB3086B"/>
    <w:rsid w:val="3BF805A9"/>
    <w:rsid w:val="3C3178A8"/>
    <w:rsid w:val="3D5E4F3B"/>
    <w:rsid w:val="3DB510DF"/>
    <w:rsid w:val="3DED6663"/>
    <w:rsid w:val="3FA46852"/>
    <w:rsid w:val="3FC217B1"/>
    <w:rsid w:val="40954CD8"/>
    <w:rsid w:val="40D93256"/>
    <w:rsid w:val="42FA1F60"/>
    <w:rsid w:val="43116574"/>
    <w:rsid w:val="44781760"/>
    <w:rsid w:val="46D70238"/>
    <w:rsid w:val="4C0118B3"/>
    <w:rsid w:val="4F813436"/>
    <w:rsid w:val="4FE015DA"/>
    <w:rsid w:val="501F44E6"/>
    <w:rsid w:val="51204589"/>
    <w:rsid w:val="515051EA"/>
    <w:rsid w:val="5264189C"/>
    <w:rsid w:val="52DC2299"/>
    <w:rsid w:val="531D57D1"/>
    <w:rsid w:val="538F59F6"/>
    <w:rsid w:val="54BC0A6D"/>
    <w:rsid w:val="567A11E3"/>
    <w:rsid w:val="56B70E8E"/>
    <w:rsid w:val="56C43C09"/>
    <w:rsid w:val="57C51837"/>
    <w:rsid w:val="57CF0AB7"/>
    <w:rsid w:val="5A2570B4"/>
    <w:rsid w:val="5B9032A3"/>
    <w:rsid w:val="5DF7579B"/>
    <w:rsid w:val="5E033269"/>
    <w:rsid w:val="5F2E1E73"/>
    <w:rsid w:val="5F697A43"/>
    <w:rsid w:val="607B672C"/>
    <w:rsid w:val="61322AA1"/>
    <w:rsid w:val="62030224"/>
    <w:rsid w:val="639C03E7"/>
    <w:rsid w:val="63B47CF9"/>
    <w:rsid w:val="63F21DB5"/>
    <w:rsid w:val="652C12F7"/>
    <w:rsid w:val="664D7962"/>
    <w:rsid w:val="665E3A7A"/>
    <w:rsid w:val="66862C89"/>
    <w:rsid w:val="670045CE"/>
    <w:rsid w:val="68214E64"/>
    <w:rsid w:val="6828049B"/>
    <w:rsid w:val="68A044D6"/>
    <w:rsid w:val="69C064B2"/>
    <w:rsid w:val="69EA3460"/>
    <w:rsid w:val="6D2A5254"/>
    <w:rsid w:val="6E881C94"/>
    <w:rsid w:val="6ED6350D"/>
    <w:rsid w:val="70957530"/>
    <w:rsid w:val="732D4BB8"/>
    <w:rsid w:val="73322F1A"/>
    <w:rsid w:val="73A87A1C"/>
    <w:rsid w:val="73B87EF2"/>
    <w:rsid w:val="77D01FB6"/>
    <w:rsid w:val="78A000BA"/>
    <w:rsid w:val="78E201F2"/>
    <w:rsid w:val="7D4122AB"/>
    <w:rsid w:val="7F92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7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8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9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0">
    <w:name w:val="柴_标题1"/>
    <w:basedOn w:val="2"/>
    <w:next w:val="31"/>
    <w:link w:val="40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1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2">
    <w:name w:val="柴_标题2"/>
    <w:basedOn w:val="3"/>
    <w:next w:val="31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3">
    <w:name w:val="柴_标题3"/>
    <w:basedOn w:val="4"/>
    <w:next w:val="3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4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5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Compact"/>
    <w:basedOn w:val="12"/>
    <w:qFormat/>
    <w:uiPriority w:val="0"/>
    <w:pPr>
      <w:spacing w:before="36" w:after="36"/>
    </w:pPr>
  </w:style>
  <w:style w:type="table" w:customStyle="1" w:styleId="3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0">
    <w:name w:val="柴_标题1 Char"/>
    <w:link w:val="30"/>
    <w:qFormat/>
    <w:uiPriority w:val="0"/>
    <w:rPr>
      <w:rFonts w:ascii="Arial" w:hAnsi="Arial" w:eastAsia="宋体"/>
      <w:sz w:val="32"/>
    </w:r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1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2"/>
    <w:qFormat/>
    <w:uiPriority w:val="0"/>
    <w:rPr>
      <w:rFonts w:ascii="Arial" w:hAnsi="Arial" w:eastAsia="宋体"/>
      <w:sz w:val="28"/>
    </w:rPr>
  </w:style>
  <w:style w:type="character" w:customStyle="1" w:styleId="47">
    <w:name w:val="柴_题注 Char"/>
    <w:link w:val="48"/>
    <w:qFormat/>
    <w:uiPriority w:val="0"/>
  </w:style>
  <w:style w:type="paragraph" w:customStyle="1" w:styleId="48">
    <w:name w:val="柴_题注"/>
    <w:basedOn w:val="19"/>
    <w:link w:val="47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2482</Words>
  <Characters>2855</Characters>
  <Lines>0</Lines>
  <Paragraphs>0</Paragraphs>
  <TotalTime>0</TotalTime>
  <ScaleCrop>false</ScaleCrop>
  <LinksUpToDate>false</LinksUpToDate>
  <CharactersWithSpaces>3019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2026-04-03T11:46:23Z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