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DE6BA">
      <w:pPr>
        <w:pStyle w:val="26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1FF5CA03">
      <w:pPr>
        <w:pStyle w:val="27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1" w:name="_Toc10664"/>
      <w:r>
        <w:rPr>
          <w:rFonts w:hint="eastAsia"/>
          <w:lang w:val="en-US" w:eastAsia="zh-CN"/>
        </w:rPr>
        <w:t>组织架构及职责说明</w:t>
      </w:r>
      <w:bookmarkEnd w:id="1"/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253E6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66F866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29738B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TJTY-ITSS-0201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E348F3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380D9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0A570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9F1CFE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027A3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刘禹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A639DA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345EE8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39388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77D060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51A6B9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1137E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A1181D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3A94A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2AEB2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AF2BB6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68553A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E0DBD3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62F45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54AB41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E9F0B8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0B0A1C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0EC71D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39CE38EE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53E352F">
      <w:pPr>
        <w:pStyle w:val="3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12EDB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E920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BEEFC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9765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7FBF4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B6FD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2826D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0D950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3CF4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A52E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7C7C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DE502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C018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A8C06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32427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C5674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F9818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0D2D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6744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2D0D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4A894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06A28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914C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8870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A21C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776A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0814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B96D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7B30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F08D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2AE1D8F2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3513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3C7411B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2" w:name="_Toc4510"/>
          <w:r>
            <w:rPr>
              <w:rFonts w:ascii="宋体" w:hAnsi="宋体" w:eastAsia="宋体"/>
              <w:sz w:val="21"/>
            </w:rPr>
            <w:t>目录</w:t>
          </w:r>
        </w:p>
        <w:p w14:paraId="095E422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_Toc29291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组织架构</w:t>
          </w:r>
          <w:r>
            <w:tab/>
          </w:r>
          <w:r>
            <w:fldChar w:fldCharType="begin"/>
          </w:r>
          <w:r>
            <w:instrText xml:space="preserve"> PAGEREF _Toc29291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064173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部门职责说明</w:t>
          </w:r>
          <w:r>
            <w:tab/>
          </w:r>
          <w:r>
            <w:fldChar w:fldCharType="begin"/>
          </w:r>
          <w:r>
            <w:instrText xml:space="preserve"> PAGEREF _Toc29121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9D840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2.1. 管理层</w:t>
          </w:r>
          <w:r>
            <w:tab/>
          </w:r>
          <w:r>
            <w:fldChar w:fldCharType="begin"/>
          </w:r>
          <w:r>
            <w:instrText xml:space="preserve"> PAGEREF _Toc15582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F7B306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2.1.1. 总经理</w:t>
          </w:r>
          <w:r>
            <w:tab/>
          </w:r>
          <w:r>
            <w:fldChar w:fldCharType="begin"/>
          </w:r>
          <w:r>
            <w:instrText xml:space="preserve"> PAGEREF _Toc12758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2ED906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管理者代表</w:t>
          </w:r>
          <w:r>
            <w:tab/>
          </w:r>
          <w:r>
            <w:fldChar w:fldCharType="begin"/>
          </w:r>
          <w:r>
            <w:instrText xml:space="preserve"> PAGEREF _Toc31478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8943C2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2.2. 综合管理部</w:t>
          </w:r>
          <w:r>
            <w:tab/>
          </w:r>
          <w:r>
            <w:fldChar w:fldCharType="begin"/>
          </w:r>
          <w:r>
            <w:instrText xml:space="preserve"> PAGEREF _Toc26291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C18F2D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_Toc20625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2.3. 质量部</w:t>
          </w:r>
          <w:r>
            <w:tab/>
          </w:r>
          <w:r>
            <w:fldChar w:fldCharType="begin"/>
          </w:r>
          <w:r>
            <w:instrText xml:space="preserve"> PAGEREF _Toc20625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230017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2.4. 技术中心</w:t>
          </w:r>
          <w:r>
            <w:tab/>
          </w:r>
          <w:r>
            <w:fldChar w:fldCharType="begin"/>
          </w:r>
          <w:r>
            <w:instrText xml:space="preserve"> PAGEREF _Toc17509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6D2DFF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运</w:t>
          </w:r>
          <w:r>
            <w:rPr>
              <w:rFonts w:hint="default"/>
              <w:lang w:val="en-US" w:eastAsia="zh-CN"/>
            </w:rPr>
            <w:t>维部</w:t>
          </w:r>
          <w:r>
            <w:tab/>
          </w:r>
          <w:r>
            <w:fldChar w:fldCharType="begin"/>
          </w:r>
          <w:r>
            <w:instrText xml:space="preserve"> PAGEREF _Toc27283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1EA0BA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_Toc28987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2.5.1. 服务台</w:t>
          </w:r>
          <w:r>
            <w:tab/>
          </w:r>
          <w:r>
            <w:fldChar w:fldCharType="begin"/>
          </w:r>
          <w:r>
            <w:instrText xml:space="preserve"> PAGEREF _Toc28987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251525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2.5.2. </w:t>
          </w:r>
          <w:r>
            <w:rPr>
              <w:rFonts w:hint="eastAsia"/>
              <w:lang w:val="en-US" w:eastAsia="zh-CN"/>
            </w:rPr>
            <w:t>备件库</w:t>
          </w:r>
          <w:r>
            <w:tab/>
          </w:r>
          <w:r>
            <w:fldChar w:fldCharType="begin"/>
          </w:r>
          <w:r>
            <w:instrText xml:space="preserve"> PAGEREF _Toc14106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87C75F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2.5.3.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_Toc18341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564D77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_Toc24703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_Toc24703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E4E18E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应急管理部</w:t>
          </w:r>
          <w:r>
            <w:tab/>
          </w:r>
          <w:r>
            <w:fldChar w:fldCharType="begin"/>
          </w:r>
          <w:r>
            <w:instrText xml:space="preserve"> PAGEREF _Toc9139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B500893">
          <w:r>
            <w:fldChar w:fldCharType="end"/>
          </w:r>
        </w:p>
      </w:sdtContent>
    </w:sdt>
    <w:p w14:paraId="659574EE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图目录</w:t>
      </w:r>
    </w:p>
    <w:p w14:paraId="499A0C4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"图"</w:instrText>
      </w:r>
      <w:r>
        <w:fldChar w:fldCharType="separate"/>
      </w:r>
      <w:r>
        <w:fldChar w:fldCharType="begin"/>
      </w:r>
      <w:r>
        <w:instrText xml:space="preserve"> HYPERLINK \l _Toc23407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组织架构图</w:t>
      </w:r>
      <w:r>
        <w:tab/>
      </w:r>
      <w:r>
        <w:fldChar w:fldCharType="begin"/>
      </w:r>
      <w:r>
        <w:instrText xml:space="preserve"> PAGEREF _Toc23407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D3B725D">
      <w:r>
        <w:fldChar w:fldCharType="end"/>
      </w:r>
    </w:p>
    <w:bookmarkEnd w:id="2"/>
    <w:p w14:paraId="11226F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2D075B2">
      <w:pPr>
        <w:pStyle w:val="30"/>
        <w:bidi w:val="0"/>
        <w:rPr>
          <w:rFonts w:hint="default"/>
          <w:lang w:val="en-US" w:eastAsia="zh-CN"/>
        </w:rPr>
      </w:pPr>
      <w:bookmarkStart w:id="3" w:name="_Toc29291"/>
      <w:r>
        <w:rPr>
          <w:rFonts w:hint="default"/>
          <w:lang w:val="en-US" w:eastAsia="zh-CN"/>
        </w:rPr>
        <w:t>组织架构</w:t>
      </w:r>
      <w:bookmarkEnd w:id="3"/>
    </w:p>
    <w:p w14:paraId="68301A5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津图云智能科技有限公司是一家多元化发展的综合性科技公司，在人工智能、软件开发、汽车服务、金融服务等领域深耕与发展。为支撑公司业务持续拓展和影响力提升，公司建立了清晰的组织架构，明确各部门职责分工。</w:t>
      </w:r>
    </w:p>
    <w:p w14:paraId="1F88B72C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组织架构图如图1-1所示</w:t>
      </w:r>
    </w:p>
    <w:p w14:paraId="7CB0C5A4">
      <w:pPr>
        <w:pStyle w:val="31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" w:name="_Toc23407"/>
      <w:r>
        <w:rPr>
          <w:rFonts w:hint="eastAsia"/>
          <w:lang w:val="en-US" w:eastAsia="zh-CN"/>
        </w:rPr>
        <w:t xml:space="preserve"> 组织架构图</w:t>
      </w:r>
      <w:bookmarkEnd w:id="4"/>
    </w:p>
    <w:p w14:paraId="386DDEA8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241.5pt;width:399.7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</w:p>
    <w:p w14:paraId="172E54C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与运维服务相关的部门有：综合管理部、质量部、技术中心、运维部</w:t>
      </w:r>
      <w:r>
        <w:rPr>
          <w:rFonts w:hint="eastAsia"/>
          <w:lang w:val="en-US" w:eastAsia="zh-CN"/>
        </w:rPr>
        <w:t>、采购部以及应急管理部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其中运维部下设服务台、备件库、服务知识</w:t>
      </w:r>
    </w:p>
    <w:p w14:paraId="19C48581">
      <w:pPr>
        <w:pStyle w:val="30"/>
        <w:bidi w:val="0"/>
        <w:rPr>
          <w:rFonts w:hint="default"/>
          <w:lang w:val="en-US" w:eastAsia="zh-CN"/>
        </w:rPr>
      </w:pPr>
      <w:bookmarkStart w:id="5" w:name="_Toc29121"/>
      <w:r>
        <w:rPr>
          <w:rFonts w:hint="default"/>
          <w:lang w:val="en-US" w:eastAsia="zh-CN"/>
        </w:rPr>
        <w:t>部门职责说明</w:t>
      </w:r>
      <w:bookmarkEnd w:id="5"/>
    </w:p>
    <w:p w14:paraId="1D2DD266">
      <w:pPr>
        <w:pStyle w:val="32"/>
        <w:bidi w:val="0"/>
        <w:rPr>
          <w:rFonts w:hint="default"/>
          <w:lang w:val="en-US" w:eastAsia="zh-CN"/>
        </w:rPr>
      </w:pPr>
      <w:bookmarkStart w:id="6" w:name="_Toc15582"/>
      <w:r>
        <w:rPr>
          <w:rFonts w:hint="default"/>
          <w:lang w:val="en-US" w:eastAsia="zh-CN"/>
        </w:rPr>
        <w:t>管理层</w:t>
      </w:r>
      <w:bookmarkEnd w:id="6"/>
    </w:p>
    <w:p w14:paraId="338C5DFD">
      <w:pPr>
        <w:pStyle w:val="33"/>
        <w:bidi w:val="0"/>
        <w:rPr>
          <w:rFonts w:hint="default"/>
          <w:lang w:val="en-US" w:eastAsia="zh-CN"/>
        </w:rPr>
      </w:pPr>
      <w:bookmarkStart w:id="7" w:name="_Toc12758"/>
      <w:r>
        <w:rPr>
          <w:rFonts w:hint="default"/>
          <w:lang w:val="en-US" w:eastAsia="zh-CN"/>
        </w:rPr>
        <w:t>总经理</w:t>
      </w:r>
      <w:bookmarkEnd w:id="7"/>
    </w:p>
    <w:p w14:paraId="2534A1D1">
      <w:pPr>
        <w:pStyle w:val="31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战略统筹</w:t>
      </w:r>
    </w:p>
    <w:p w14:paraId="13999BFD">
      <w:pPr>
        <w:pStyle w:val="3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主持公司全面工作，统筹公司整体发展战略和经营目标的制定与实现。</w:t>
      </w:r>
    </w:p>
    <w:p w14:paraId="5DD47047">
      <w:pPr>
        <w:pStyle w:val="3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统筹公司年度工作计划和财务预算的审批与资源配置。</w:t>
      </w:r>
    </w:p>
    <w:p w14:paraId="4B2536D1">
      <w:pPr>
        <w:pStyle w:val="3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统筹公司日常经营管理工作，加强员工队伍建设，提升组织效能。</w:t>
      </w:r>
    </w:p>
    <w:p w14:paraId="3B7388C7">
      <w:pPr>
        <w:pStyle w:val="31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运维服务统筹</w:t>
      </w:r>
    </w:p>
    <w:p w14:paraId="54D3611A">
      <w:pPr>
        <w:pStyle w:val="3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统筹公司运维服务体系的顶层设计，确保运维服务方向与公司战略一致。</w:t>
      </w:r>
    </w:p>
    <w:p w14:paraId="40C077CF">
      <w:pPr>
        <w:pStyle w:val="3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统筹运维服务资源的整体配置，为运维服务提供必要的人力、财力和物力保障。</w:t>
      </w:r>
    </w:p>
    <w:p w14:paraId="3CF48BC6">
      <w:pPr>
        <w:pStyle w:val="3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主持运维服务管理体系的管理评审，审批运维服务管理体系的内审报告和管评报告。</w:t>
      </w:r>
    </w:p>
    <w:p w14:paraId="6EBDE7C5">
      <w:pPr>
        <w:pStyle w:val="31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质量与改进统筹</w:t>
      </w:r>
    </w:p>
    <w:p w14:paraId="3B9F9E3C">
      <w:pPr>
        <w:pStyle w:val="3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统筹推动公司运维服务质量的持续提高，组织相关部门通过工作实践、教育培训、业务指导等方式，不断提升员工对满足客户需求重要性的认知程度。</w:t>
      </w:r>
    </w:p>
    <w:p w14:paraId="701D0870">
      <w:pPr>
        <w:pStyle w:val="3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统筹重大质量问题的决策和改进资源的调配。</w:t>
      </w:r>
    </w:p>
    <w:p w14:paraId="23A546E4">
      <w:pPr>
        <w:pStyle w:val="31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文化引领</w:t>
      </w:r>
    </w:p>
    <w:p w14:paraId="1F90622C">
      <w:pPr>
        <w:pStyle w:val="3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秉承公司“创新、合作、共赢”的发展理念，统筹企业文化建设，引领公司成为行业领军者。</w:t>
      </w:r>
    </w:p>
    <w:p w14:paraId="69F07F76">
      <w:pPr>
        <w:pStyle w:val="33"/>
        <w:bidi w:val="0"/>
        <w:rPr>
          <w:rFonts w:hint="default"/>
          <w:lang w:val="en-US" w:eastAsia="zh-CN"/>
        </w:rPr>
      </w:pPr>
      <w:bookmarkStart w:id="8" w:name="_Toc31478"/>
      <w:r>
        <w:rPr>
          <w:rFonts w:hint="eastAsia"/>
          <w:lang w:val="en-US" w:eastAsia="zh-CN"/>
        </w:rPr>
        <w:t>管理者代表</w:t>
      </w:r>
      <w:bookmarkEnd w:id="8"/>
    </w:p>
    <w:p w14:paraId="28E3BA8F">
      <w:pPr>
        <w:pStyle w:val="31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体系统筹</w:t>
      </w:r>
    </w:p>
    <w:p w14:paraId="3CD2E129">
      <w:pPr>
        <w:pStyle w:val="3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全面统筹运维服务管理体系的建立、实施和改进，确保体系有效运行。</w:t>
      </w:r>
    </w:p>
    <w:p w14:paraId="6C076C87">
      <w:pPr>
        <w:pStyle w:val="3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统筹运维服务管理体系文件的制定、评审和更新，确保体系文件的适宜性和有效性。</w:t>
      </w:r>
    </w:p>
    <w:p w14:paraId="561F5681">
      <w:pPr>
        <w:pStyle w:val="31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汇报与沟通统筹</w:t>
      </w:r>
    </w:p>
    <w:p w14:paraId="6312943D">
      <w:pPr>
        <w:pStyle w:val="3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向总经理报告运维服务体系的运行情况，统筹提出改进建议和资源需求。</w:t>
      </w:r>
    </w:p>
    <w:p w14:paraId="051D1B5D">
      <w:pPr>
        <w:pStyle w:val="3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统筹与外部方（如认证机构、客户）的协调沟通，确保外部审核和客户要求的有效落实。</w:t>
      </w:r>
    </w:p>
    <w:p w14:paraId="4F0E0051">
      <w:pPr>
        <w:pStyle w:val="31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部门协同统筹</w:t>
      </w:r>
    </w:p>
    <w:p w14:paraId="5088F0FB">
      <w:pPr>
        <w:pStyle w:val="3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统筹协调运维部、技术中心、质量部、综合管理部、采购部、应急管理部在运维服务体系中的协同运作，确保各部门职责有效落实。</w:t>
      </w:r>
    </w:p>
    <w:p w14:paraId="132BB923">
      <w:pPr>
        <w:pStyle w:val="3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统筹跨部门重大事项的协调，推动运维服务问题的闭环解决。</w:t>
      </w:r>
    </w:p>
    <w:p w14:paraId="219DE38B">
      <w:pPr>
        <w:pStyle w:val="31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内审与管理评审统筹</w:t>
      </w:r>
    </w:p>
    <w:p w14:paraId="130D036B">
      <w:pPr>
        <w:pStyle w:val="3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统筹组织运维服务体系的内审工作，确保内审计划的制定和执行，跟踪内审发现问题的整改落实。</w:t>
      </w:r>
    </w:p>
    <w:p w14:paraId="2D021ED7">
      <w:pPr>
        <w:pStyle w:val="3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统筹管理评审的输入准备和输出跟踪，确保管理评审决议的有效实施。</w:t>
      </w:r>
    </w:p>
    <w:p w14:paraId="7AF72F4D">
      <w:pPr>
        <w:pStyle w:val="31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意识与文化统筹</w:t>
      </w:r>
    </w:p>
    <w:p w14:paraId="18E6B677">
      <w:pPr>
        <w:pStyle w:val="3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统筹确保运维服务人员理解客户需求和法规要求，推动服务意识的持续提升。</w:t>
      </w:r>
    </w:p>
    <w:p w14:paraId="1ED4E107">
      <w:pPr>
        <w:pStyle w:val="3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统筹运维服务文化的建设和推广，营造以客户为中心的服务氛围。</w:t>
      </w:r>
    </w:p>
    <w:p w14:paraId="468194A6">
      <w:pPr>
        <w:pStyle w:val="31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改进统筹</w:t>
      </w:r>
    </w:p>
    <w:p w14:paraId="27088A59">
      <w:pPr>
        <w:pStyle w:val="3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统筹运维服务体系的持续改进工作，推动各部门落实改进措施。</w:t>
      </w:r>
    </w:p>
    <w:p w14:paraId="50343AC1">
      <w:pPr>
        <w:pStyle w:val="3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统筹重大服务问题的复盘和改进跟踪。</w:t>
      </w:r>
    </w:p>
    <w:p w14:paraId="6B70415D">
      <w:pPr>
        <w:pStyle w:val="32"/>
        <w:bidi w:val="0"/>
        <w:rPr>
          <w:rFonts w:hint="default"/>
          <w:lang w:val="en-US" w:eastAsia="zh-CN"/>
        </w:rPr>
      </w:pPr>
      <w:bookmarkStart w:id="9" w:name="_Toc26291"/>
      <w:r>
        <w:rPr>
          <w:rFonts w:hint="default"/>
          <w:lang w:val="en-US" w:eastAsia="zh-CN"/>
        </w:rPr>
        <w:t>综合管理部</w:t>
      </w:r>
      <w:bookmarkEnd w:id="9"/>
    </w:p>
    <w:p w14:paraId="4C1C33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完善人力资源管理体系，包括招聘、培训、绩效、薪酬及员工发展等体系的全面建设；</w:t>
      </w:r>
    </w:p>
    <w:p w14:paraId="777902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根据组织架构，完成部门架构、人员的定岗定编、岗位说明书的编制等；</w:t>
      </w:r>
    </w:p>
    <w:p w14:paraId="6C012F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人才队伍的建设及人力资源成本的有效控制；</w:t>
      </w:r>
    </w:p>
    <w:p w14:paraId="3A38FE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推进公司企业文化建设，提高团队战斗力；</w:t>
      </w:r>
    </w:p>
    <w:p w14:paraId="42D448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负责知识产权的登记、申报和管理；</w:t>
      </w:r>
    </w:p>
    <w:p w14:paraId="5C7D57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积极配合各部门提出人员需求的落实工作；</w:t>
      </w:r>
    </w:p>
    <w:p w14:paraId="1BB846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及时处理公司管理过程中的重大人力资源问题；</w:t>
      </w:r>
    </w:p>
    <w:p w14:paraId="34CA0C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向公司管理层提供人力资源工作的意见和建议，提供决策支持；</w:t>
      </w:r>
    </w:p>
    <w:p w14:paraId="26F498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负责公司内部文件办文、发文工作；</w:t>
      </w:r>
    </w:p>
    <w:p w14:paraId="4B3893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负责公司相关资质、证书、资料归档工作；</w:t>
      </w:r>
    </w:p>
    <w:p w14:paraId="3D2DF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负责证照的办理及年度审验工作；</w:t>
      </w:r>
    </w:p>
    <w:p w14:paraId="46F655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负责公司员工的后勤保障工作，包括公司活动的组织、节假日福利、礼品的发放等；</w:t>
      </w:r>
    </w:p>
    <w:p w14:paraId="3719E1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协助筹备、执行员工日常福利、节日员工活动；</w:t>
      </w:r>
    </w:p>
    <w:p w14:paraId="7D185B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负责印章管理台账登记及用印核查。</w:t>
      </w:r>
    </w:p>
    <w:p w14:paraId="1D689E68">
      <w:pPr>
        <w:pStyle w:val="32"/>
        <w:bidi w:val="0"/>
        <w:rPr>
          <w:rFonts w:hint="default"/>
          <w:lang w:val="en-US" w:eastAsia="zh-CN"/>
        </w:rPr>
      </w:pPr>
      <w:bookmarkStart w:id="10" w:name="_Toc20625"/>
      <w:r>
        <w:rPr>
          <w:rFonts w:hint="default"/>
          <w:lang w:val="en-US" w:eastAsia="zh-CN"/>
        </w:rPr>
        <w:t>质量部</w:t>
      </w:r>
      <w:bookmarkEnd w:id="10"/>
    </w:p>
    <w:p w14:paraId="7BC352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负责年度质量管理工作规划以及质量方面改进工作的总结；</w:t>
      </w:r>
    </w:p>
    <w:p w14:paraId="01996C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制定公司质量管理体系，包括：制定公司质量方针和目标、ITSS运维体系、实施员工质量管理体系培训；</w:t>
      </w:r>
    </w:p>
    <w:p w14:paraId="119F76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负责组织公司的内审、管理评审工作；</w:t>
      </w:r>
    </w:p>
    <w:p w14:paraId="7FDD25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对不符合改进工作做好持续监督工作；</w:t>
      </w:r>
    </w:p>
    <w:p w14:paraId="216B3B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建立公司客户满意度调查制度和机制：制定组织级客户满意度调查、分析、改进的计划和目标；</w:t>
      </w:r>
    </w:p>
    <w:p w14:paraId="7F2095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跟踪相关部门进行问题的改善工作，并监控客户满意度调查问题的整改落实。</w:t>
      </w:r>
    </w:p>
    <w:p w14:paraId="33190FAE">
      <w:pPr>
        <w:pStyle w:val="32"/>
        <w:bidi w:val="0"/>
        <w:rPr>
          <w:rFonts w:hint="default"/>
          <w:lang w:val="en-US" w:eastAsia="zh-CN"/>
        </w:rPr>
      </w:pPr>
      <w:bookmarkStart w:id="11" w:name="_Toc17509"/>
      <w:r>
        <w:rPr>
          <w:rFonts w:hint="default"/>
          <w:lang w:val="en-US" w:eastAsia="zh-CN"/>
        </w:rPr>
        <w:t>技术中心</w:t>
      </w:r>
      <w:bookmarkEnd w:id="11"/>
    </w:p>
    <w:p w14:paraId="5432AA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负责对运维技术适应性展开调研，确定适合的技术路线，拟定运维技术的研发规划，并按规划执行；</w:t>
      </w:r>
    </w:p>
    <w:p w14:paraId="62E2EA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负责运维工具的研发、升级与更新、配置数据库维护、系统安全检测，保证运维过程管理工具功能和性能的适应性，保证运维工具能够支撑运维业务的开展；</w:t>
      </w:r>
    </w:p>
    <w:p w14:paraId="166272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针对在运维服务过程中遇到的技术难题，及时给予技术支持；</w:t>
      </w:r>
    </w:p>
    <w:p w14:paraId="1CB857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负责研究与发现问题相关的技术，研发信息采集和监控的手段，研发问题和潜在风险诊断、分析的方法，制定相关的诊断方案或手册；</w:t>
      </w:r>
    </w:p>
    <w:p w14:paraId="00744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负责研究与解决问题相关的技术，研发排除潜在风险和故障，恢复服务的技术和手段，制定解决问题的技术指标或标准、解决问题的方案或手册和解决问题的验证标准和方法；</w:t>
      </w:r>
    </w:p>
    <w:p w14:paraId="7EE4C7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负责知识库的权限管理、内容管理、知识库评审工作；</w:t>
      </w:r>
    </w:p>
    <w:p w14:paraId="6B876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对知识库进行录入整理和及时更新管理。</w:t>
      </w:r>
    </w:p>
    <w:p w14:paraId="46521FAE">
      <w:pPr>
        <w:pStyle w:val="32"/>
        <w:bidi w:val="0"/>
        <w:rPr>
          <w:rFonts w:hint="default"/>
          <w:lang w:val="en-US" w:eastAsia="zh-CN"/>
        </w:rPr>
      </w:pPr>
      <w:bookmarkStart w:id="12" w:name="_Toc27283"/>
      <w:r>
        <w:rPr>
          <w:rFonts w:hint="eastAsia"/>
          <w:lang w:val="en-US" w:eastAsia="zh-CN"/>
        </w:rPr>
        <w:t>运</w:t>
      </w:r>
      <w:r>
        <w:rPr>
          <w:rFonts w:hint="default"/>
          <w:lang w:val="en-US" w:eastAsia="zh-CN"/>
        </w:rPr>
        <w:t>维部</w:t>
      </w:r>
      <w:bookmarkEnd w:id="12"/>
    </w:p>
    <w:p w14:paraId="561A52F2">
      <w:pPr>
        <w:pStyle w:val="31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交付管理</w:t>
      </w:r>
    </w:p>
    <w:p w14:paraId="2B433EAB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负责运维服务项目的交付全流程管理，根据合同要求和服务目录制定交付计划。</w:t>
      </w:r>
    </w:p>
    <w:p w14:paraId="4E1258B5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协调内部资源（技术中心、现场工程师等）按计划推进交付工作，确保按时保质完成。</w:t>
      </w:r>
    </w:p>
    <w:p w14:paraId="2FB25781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组织交付前的内部验收，确保交付成果（系统部署、硬件调试、培训服务等）符合客户要求。</w:t>
      </w:r>
    </w:p>
    <w:p w14:paraId="79843D07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负责交付过程中的文档编制、收集和归档，包括《交付确认单》《培训记录》《硬件调试报告》等。</w:t>
      </w:r>
    </w:p>
    <w:p w14:paraId="72484B5B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识别交付过程中的风险，及时协调解决，重大问题向上级汇报。</w:t>
      </w:r>
    </w:p>
    <w:p w14:paraId="7121E836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作为交付阶段的主要客户接口，保持与客户的良好沟通，收集反馈并推动改进。</w:t>
      </w:r>
    </w:p>
    <w:p w14:paraId="58E07794">
      <w:pPr>
        <w:pStyle w:val="31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运维服务执行</w:t>
      </w:r>
    </w:p>
    <w:p w14:paraId="4AA05735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负责组织级服务目录的制定和更新。</w:t>
      </w:r>
    </w:p>
    <w:p w14:paraId="69ACBE5C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负责公司运维服务能力的规划和实施。</w:t>
      </w:r>
    </w:p>
    <w:p w14:paraId="3CC53AB0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负责运维工具的使用和管理。</w:t>
      </w:r>
    </w:p>
    <w:p w14:paraId="28E3FBB0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负责运维过程的实施记录和服务提升。</w:t>
      </w:r>
    </w:p>
    <w:p w14:paraId="70A04FF9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负责需求调研，控制项目运维周期，及时控制及反映项目风险。</w:t>
      </w:r>
    </w:p>
    <w:p w14:paraId="3178C5F3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及时将部门收集汇总的用户需求提交技术中心，完善产品功能。</w:t>
      </w:r>
    </w:p>
    <w:p w14:paraId="1E7A3C33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提出采购需求，协助采购部的采购管理、供应商管理工作。</w:t>
      </w:r>
    </w:p>
    <w:p w14:paraId="7BA20661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负责项目的运维、协调及验收工作。</w:t>
      </w:r>
    </w:p>
    <w:p w14:paraId="5DE50E2C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把控项目模块运维周期，做好相关项目后期维护服务工作。</w:t>
      </w:r>
    </w:p>
    <w:p w14:paraId="7EB5B497">
      <w:pPr>
        <w:pStyle w:val="31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</w:t>
      </w:r>
    </w:p>
    <w:p w14:paraId="06BCD3AA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作为应急响应的执行主体，负责重大故障和突发事件的现场处置和恢复工作。</w:t>
      </w:r>
    </w:p>
    <w:p w14:paraId="4AFB396F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接到应急管理部的应急指令或服务台的应急升级通知后，立即组织技术人员赶赴现场或启动远程支持。</w:t>
      </w:r>
    </w:p>
    <w:p w14:paraId="663C0ABB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执行应急恢复操作，包括系统重启、切换备份、隔离故障、硬件更换等，确保服务快速恢复。</w:t>
      </w:r>
    </w:p>
    <w:p w14:paraId="47170DBC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在应急处置过程中，保持与应急管理部、服务台、客户的沟通，及时反馈处置进展。</w:t>
      </w:r>
    </w:p>
    <w:p w14:paraId="3CB26E72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应急事件结束后，配合应急管理部进行复盘分析，提供技术分析和改进建议。</w:t>
      </w:r>
    </w:p>
    <w:p w14:paraId="441BC25A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根据复盘结果，优化应急响应流程和技术方案，提升应急响应能力。</w:t>
      </w:r>
    </w:p>
    <w:p w14:paraId="40378D31">
      <w:pPr>
        <w:pStyle w:val="33"/>
        <w:bidi w:val="0"/>
        <w:rPr>
          <w:rFonts w:hint="default"/>
          <w:lang w:val="en-US" w:eastAsia="zh-CN"/>
        </w:rPr>
      </w:pPr>
      <w:bookmarkStart w:id="13" w:name="_Toc28987"/>
      <w:r>
        <w:rPr>
          <w:rFonts w:hint="default"/>
          <w:lang w:val="en-US" w:eastAsia="zh-CN"/>
        </w:rPr>
        <w:t>服务台</w:t>
      </w:r>
      <w:bookmarkEnd w:id="13"/>
    </w:p>
    <w:p w14:paraId="2C2527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接受用户和运维人员的事件申报；</w:t>
      </w:r>
    </w:p>
    <w:p w14:paraId="32F3A7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对受理的事件进行初步分类和优先级判断；</w:t>
      </w:r>
    </w:p>
    <w:p w14:paraId="262FF3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与服务请求的提交者及相关用户进行沟通、跟踪、通报事件的处理情况；</w:t>
      </w:r>
    </w:p>
    <w:p w14:paraId="07FF09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事件解决后，与用户沟通确认事件已解决并进行满意度调查；</w:t>
      </w:r>
    </w:p>
    <w:p w14:paraId="737EB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事件解决后，根据事件解决方案，监督更新配置信息；</w:t>
      </w:r>
    </w:p>
    <w:p w14:paraId="686303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配合质量部进行组织级满意度调查工作。</w:t>
      </w:r>
    </w:p>
    <w:p w14:paraId="7BD3D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发现或接到重大故障申报时，立即启动应急升级机制，第一时间通知应急管理部和运维部相关人员</w:t>
      </w:r>
    </w:p>
    <w:p w14:paraId="621FA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在应急事件处置过程中，保持与客户、应急处置人员的沟通，及时通报处理进展</w:t>
      </w:r>
    </w:p>
    <w:p w14:paraId="00273F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应急事件结束后，配合应急管理部进行客户确认和满意度回访</w:t>
      </w:r>
    </w:p>
    <w:p w14:paraId="28BE2D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协助应急管理部收集应急事件的基础信息，为复盘分析提供原始记录</w:t>
      </w:r>
    </w:p>
    <w:p w14:paraId="7A8752FB">
      <w:pPr>
        <w:pStyle w:val="33"/>
        <w:bidi w:val="0"/>
        <w:rPr>
          <w:rFonts w:hint="eastAsia"/>
          <w:lang w:val="en-US" w:eastAsia="zh-CN"/>
        </w:rPr>
      </w:pPr>
      <w:bookmarkStart w:id="14" w:name="_Toc14106"/>
      <w:r>
        <w:rPr>
          <w:rFonts w:hint="eastAsia"/>
          <w:lang w:val="en-US" w:eastAsia="zh-CN"/>
        </w:rPr>
        <w:t>备件库</w:t>
      </w:r>
      <w:bookmarkEnd w:id="14"/>
    </w:p>
    <w:p w14:paraId="7DF677F7">
      <w:pPr>
        <w:pStyle w:val="31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备件规划与需求提出</w:t>
      </w:r>
    </w:p>
    <w:p w14:paraId="092E24A3">
      <w:pPr>
        <w:pStyle w:val="3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根据运维服务目录和合同要求，制定备件储备规划，明确备件类型、型号、安全库存数量；</w:t>
      </w:r>
    </w:p>
    <w:p w14:paraId="0531775B">
      <w:pPr>
        <w:pStyle w:val="3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定期评估备件库存状况，低于安全库存时，向采购部提出备件采购需求，明确规格、数量、到货时间要求；</w:t>
      </w:r>
    </w:p>
    <w:p w14:paraId="4BB05AF5">
      <w:pPr>
        <w:pStyle w:val="3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针对关键设备（如服务器、网络设备、收银终端）建立备件冗余机制，保障高可用性。</w:t>
      </w:r>
    </w:p>
    <w:p w14:paraId="33D9C720">
      <w:pPr>
        <w:pStyle w:val="31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备件入库与标识</w:t>
      </w:r>
    </w:p>
    <w:p w14:paraId="461286AB">
      <w:pPr>
        <w:pStyle w:val="3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对采购到货的备件进行验收，核对型号、数量，进行功能性测试，确保备件质量合格；</w:t>
      </w:r>
    </w:p>
    <w:p w14:paraId="2A16D856">
      <w:pPr>
        <w:pStyle w:val="3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对验收合格的备件进行统一编号、贴标签，录入备件管理台账或系统；</w:t>
      </w:r>
    </w:p>
    <w:p w14:paraId="2C497F73">
      <w:pPr>
        <w:pStyle w:val="3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备件分类存放，标识清晰，便于快速查找和取用。</w:t>
      </w:r>
    </w:p>
    <w:p w14:paraId="0825FA13">
      <w:pPr>
        <w:pStyle w:val="31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备件库存管理</w:t>
      </w:r>
    </w:p>
    <w:p w14:paraId="5846284A">
      <w:pPr>
        <w:pStyle w:val="3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定期对备件库存进行盘点（至少每季度一次），确保账实相符；</w:t>
      </w:r>
    </w:p>
    <w:p w14:paraId="40C4A51B">
      <w:pPr>
        <w:pStyle w:val="3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监控备件库存水位，及时预警并发起补库申请；</w:t>
      </w:r>
    </w:p>
    <w:p w14:paraId="440F4DA0">
      <w:pPr>
        <w:pStyle w:val="3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对过期、损坏、淘汰的备件进行报废处理，经审批后更新备件台账。</w:t>
      </w:r>
    </w:p>
    <w:p w14:paraId="1755A363">
      <w:pPr>
        <w:pStyle w:val="31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备件借用与调拨</w:t>
      </w:r>
    </w:p>
    <w:p w14:paraId="3284C60A">
      <w:pPr>
        <w:pStyle w:val="3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建立备件借用流程，运维人员或现场工程师借用备件时，需登记借用用途、借用时间、预计归还时间；</w:t>
      </w:r>
    </w:p>
    <w:p w14:paraId="5D0DFDFE">
      <w:pPr>
        <w:pStyle w:val="3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跟踪借用备件的归还情况，逾期未归还需及时催还；</w:t>
      </w:r>
    </w:p>
    <w:p w14:paraId="52DA2F3C">
      <w:pPr>
        <w:pStyle w:val="3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应急情况下，配合应急管理部快速调拨备件，支持现场抢修，并做好记录。</w:t>
      </w:r>
    </w:p>
    <w:p w14:paraId="5E2D9829">
      <w:pPr>
        <w:pStyle w:val="31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备件使用记录与统计</w:t>
      </w:r>
    </w:p>
    <w:p w14:paraId="4136FF14">
      <w:pPr>
        <w:pStyle w:val="3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记录每次备件使用的详细信息，包括：故障设备信息、更换备件型号、更换时间、处理人员、故障现象等；</w:t>
      </w:r>
    </w:p>
    <w:p w14:paraId="75F289B3">
      <w:pPr>
        <w:pStyle w:val="3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定期统计备件使用情况，分析常用备件、故障率高的设备类型，为备件优化和采购计划提供数据支持；</w:t>
      </w:r>
    </w:p>
    <w:p w14:paraId="7F582F88">
      <w:pPr>
        <w:pStyle w:val="3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将备件使用记录与《故障处理记录》关联，形成完整的维修闭环。</w:t>
      </w:r>
    </w:p>
    <w:p w14:paraId="2E2312BB">
      <w:pPr>
        <w:pStyle w:val="31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备件质量反馈</w:t>
      </w:r>
    </w:p>
    <w:p w14:paraId="186D07E5">
      <w:pPr>
        <w:pStyle w:val="3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对备件使用过程中出现的质量问题（如备件本身故障、使用寿命过短等）进行记录，及时反馈至采购部；</w:t>
      </w:r>
    </w:p>
    <w:p w14:paraId="59375007">
      <w:pPr>
        <w:pStyle w:val="3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配合质量部对备件供应商进行评价，提供备件使用数据，协助优化供应商选择。</w:t>
      </w:r>
    </w:p>
    <w:p w14:paraId="462C88CA">
      <w:pPr>
        <w:pStyle w:val="33"/>
        <w:bidi w:val="0"/>
        <w:rPr>
          <w:rFonts w:hint="default"/>
          <w:lang w:val="en-US" w:eastAsia="zh-CN"/>
        </w:rPr>
      </w:pPr>
      <w:bookmarkStart w:id="15" w:name="_Toc18341"/>
      <w:r>
        <w:rPr>
          <w:rFonts w:hint="eastAsia"/>
          <w:lang w:val="en-US" w:eastAsia="zh-CN"/>
        </w:rPr>
        <w:t>服务知识</w:t>
      </w:r>
      <w:bookmarkEnd w:id="15"/>
      <w:bookmarkStart w:id="18" w:name="_GoBack"/>
      <w:bookmarkEnd w:id="18"/>
    </w:p>
    <w:p w14:paraId="6DC7ED87">
      <w:pPr>
        <w:pStyle w:val="31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一线知识收集与整理</w:t>
      </w:r>
    </w:p>
    <w:p w14:paraId="66A445A1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收集服务台、现场工程师在日常运维中遇到的常见问题、解决方案、操作技巧、故障处理经验；</w:t>
      </w:r>
    </w:p>
    <w:p w14:paraId="4FEF5C7E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对收集的知识进行初步整理、分类、去重，确保内容准确、表述清晰、格式规范；</w:t>
      </w:r>
    </w:p>
    <w:p w14:paraId="7812C6B8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将整理好的知识提交技术中心知识库管理员进行评审和入库。</w:t>
      </w:r>
    </w:p>
    <w:p w14:paraId="3A0CD771">
      <w:pPr>
        <w:pStyle w:val="31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知识库内容维护</w:t>
      </w:r>
    </w:p>
    <w:p w14:paraId="488C7912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配合技术中心定期对知识库内容进行更新、优化，删除过期或无效的知识条目；</w:t>
      </w:r>
    </w:p>
    <w:p w14:paraId="66A3E5A5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根据实际使用情况，对知识库内容提出分类优化、关键词优化、搜索优化等建议；</w:t>
      </w:r>
    </w:p>
    <w:p w14:paraId="306DA1B1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维护知识库的时效性，确保一线人员能够查找到最新、最准确的解决方案。</w:t>
      </w:r>
    </w:p>
    <w:p w14:paraId="690E0B55">
      <w:pPr>
        <w:pStyle w:val="31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知识应用与推广</w:t>
      </w:r>
    </w:p>
    <w:p w14:paraId="3739E8C6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推动服务台和运维人员在日常工作中积极使用知识库，提高问题解决效率；</w:t>
      </w:r>
    </w:p>
    <w:p w14:paraId="33DF311C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定期统计知识库使用情况，分析高频问题、知识盲区、搜索失败的关键词，为培训和知识补充提供依据；</w:t>
      </w:r>
    </w:p>
    <w:p w14:paraId="0BDCFEF9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组织内部知识分享会、案例复盘会，将典型案例、优秀解决方案在团队内进行推广。</w:t>
      </w:r>
    </w:p>
    <w:p w14:paraId="3477EA32">
      <w:pPr>
        <w:pStyle w:val="31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知识质量反馈</w:t>
      </w:r>
    </w:p>
    <w:p w14:paraId="29EAE513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收集一线人员对知识库内容的评价和建议（如解决方案是否有效、描述是否清晰、步骤是否完整等）；</w:t>
      </w:r>
    </w:p>
    <w:p w14:paraId="11C16DF4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将知识质量反馈至技术中心，协助优化知识库内容和结构；</w:t>
      </w:r>
    </w:p>
    <w:p w14:paraId="2643DB80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对多次使用的知识条目进行效果跟踪，评估其实际应用价值，形成知识贡献度数据。</w:t>
      </w:r>
    </w:p>
    <w:p w14:paraId="3054D18B">
      <w:pPr>
        <w:pStyle w:val="31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新员工知识培训支持</w:t>
      </w:r>
    </w:p>
    <w:p w14:paraId="3C4A7044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将知识库中的基础知识和常见问题解决方案作为新员工培训的教材；</w:t>
      </w:r>
    </w:p>
    <w:p w14:paraId="6A534A5F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协助综合管理部制定新员工运维知识学习计划，提升新人上手速度；</w:t>
      </w:r>
    </w:p>
    <w:p w14:paraId="5AEB7FC2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为新员工配备知识学习导师，指导其快速掌握常用知识。</w:t>
      </w:r>
    </w:p>
    <w:p w14:paraId="768754F8">
      <w:pPr>
        <w:pStyle w:val="31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知识贡献激励建议</w:t>
      </w:r>
    </w:p>
    <w:p w14:paraId="24EF0842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定期统计员工的知识贡献情况（如提交知识的数量、质量、被使用次数、点赞/评价等）；</w:t>
      </w:r>
    </w:p>
    <w:p w14:paraId="2AEFA7C0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向综合管理部提出知识贡献激励建议（如积分奖励、月度/年度知识之星等），鼓励员工积极参与知识沉淀。</w:t>
      </w:r>
    </w:p>
    <w:p w14:paraId="576C1721">
      <w:pPr>
        <w:pStyle w:val="30"/>
        <w:bidi w:val="0"/>
        <w:rPr>
          <w:rFonts w:hint="eastAsia"/>
          <w:lang w:val="en-US" w:eastAsia="zh-CN"/>
        </w:rPr>
      </w:pPr>
      <w:bookmarkStart w:id="16" w:name="_Toc24703"/>
      <w:r>
        <w:rPr>
          <w:rFonts w:hint="eastAsia"/>
          <w:lang w:val="en-US" w:eastAsia="zh-CN"/>
        </w:rPr>
        <w:t>采购部</w:t>
      </w:r>
      <w:bookmarkEnd w:id="16"/>
    </w:p>
    <w:p w14:paraId="48B488A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采购部是公司运维服务支撑体系的重要组成部分，负责运维物资、备品备件、软硬件资产的采购与供应商管理，确保运维资源及时、合规、高效地供应。</w:t>
      </w:r>
    </w:p>
    <w:p w14:paraId="45AAE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主要职责：</w:t>
      </w:r>
    </w:p>
    <w:p w14:paraId="194986FC">
      <w:pPr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采购计划与执行</w:t>
      </w:r>
    </w:p>
    <w:p w14:paraId="559CA3F1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根据运维部、备件库等部门提出的采购需求，制定年度、季度采购计划；</w:t>
      </w:r>
    </w:p>
    <w:p w14:paraId="21E22EBE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组织采购招标、询价、比价、合同签订等采购全流程工作；</w:t>
      </w:r>
    </w:p>
    <w:p w14:paraId="3DF84A56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确保采购物资的质量、交期、成本符合公司要求。</w:t>
      </w:r>
    </w:p>
    <w:p w14:paraId="518D615E">
      <w:pPr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供应商管理</w:t>
      </w:r>
    </w:p>
    <w:p w14:paraId="62D8C837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建立供应商准入、评估、考核机制，定期对供应商进行综合评价；</w:t>
      </w:r>
    </w:p>
    <w:p w14:paraId="14081F39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维护合格供应商名录，推动供应商持续改进；</w:t>
      </w:r>
    </w:p>
    <w:p w14:paraId="08C16C94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对关键备件、设备建立备选供应商机制，降低供应风险。</w:t>
      </w:r>
    </w:p>
    <w:p w14:paraId="43D99A7E">
      <w:pPr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采购合同与付款管理</w:t>
      </w:r>
    </w:p>
    <w:p w14:paraId="659E5192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负责采购合同的起草、审核、签订、归档；</w:t>
      </w:r>
    </w:p>
    <w:p w14:paraId="6AFC3DFE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跟踪采购订单执行情况，协调验收、入库、付款等后续工作；</w:t>
      </w:r>
    </w:p>
    <w:p w14:paraId="506DB786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配合财务部进行采购成本核算和分析。</w:t>
      </w:r>
    </w:p>
    <w:p w14:paraId="7E683110">
      <w:pPr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采购数据与合规管理</w:t>
      </w:r>
    </w:p>
    <w:p w14:paraId="162CC6BC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建立采购台账，记录采购全流程信息；</w:t>
      </w:r>
    </w:p>
    <w:p w14:paraId="0C4BBB44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配合质量部、运维部对采购物资的质量问题进行追溯；</w:t>
      </w:r>
    </w:p>
    <w:p w14:paraId="407234D6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确保采购流程符合公司内控要求和相关法规。</w:t>
      </w:r>
    </w:p>
    <w:p w14:paraId="28A9A07B">
      <w:pPr>
        <w:pStyle w:val="30"/>
        <w:bidi w:val="0"/>
        <w:rPr>
          <w:rFonts w:hint="default"/>
          <w:lang w:val="en-US" w:eastAsia="zh-CN"/>
        </w:rPr>
      </w:pPr>
      <w:bookmarkStart w:id="17" w:name="_Toc9139"/>
      <w:r>
        <w:rPr>
          <w:rFonts w:hint="eastAsia"/>
          <w:lang w:val="en-US" w:eastAsia="zh-CN"/>
        </w:rPr>
        <w:t>应急管理部</w:t>
      </w:r>
      <w:bookmarkEnd w:id="17"/>
    </w:p>
    <w:p w14:paraId="46708E3C">
      <w:pPr>
        <w:pStyle w:val="3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应急管理部是公司运维服务体系中的重要保障部门，负责应对重大突发事件、保障业务连续性和服务可用性，确保在突发情况下能够快速恢复服务，最小化业务影响。</w:t>
      </w:r>
    </w:p>
    <w:p w14:paraId="3F95394A">
      <w:pPr>
        <w:pStyle w:val="3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主要职责：</w:t>
      </w:r>
    </w:p>
    <w:p w14:paraId="59746143">
      <w:pPr>
        <w:pStyle w:val="31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应急预案管理</w:t>
      </w:r>
    </w:p>
    <w:p w14:paraId="13D73B67">
      <w:pPr>
        <w:pStyle w:val="3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制定、评审和更新公司级运维应急预案（系统故障、网络中断、机房断电、数据丢失、安全攻击等）；</w:t>
      </w:r>
    </w:p>
    <w:p w14:paraId="3453FA26">
      <w:pPr>
        <w:pStyle w:val="3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确保应急预案与客户业务需求、服务水平目标相匹配；</w:t>
      </w:r>
    </w:p>
    <w:p w14:paraId="775D5CF3">
      <w:pPr>
        <w:pStyle w:val="3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定期组织应急预案的评审和修订。</w:t>
      </w:r>
    </w:p>
    <w:p w14:paraId="60734E30">
      <w:pPr>
        <w:pStyle w:val="31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应急组织与演练</w:t>
      </w:r>
    </w:p>
    <w:p w14:paraId="768B9EE9">
      <w:pPr>
        <w:pStyle w:val="3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组建应急响应小组，明确职责分工；</w:t>
      </w:r>
    </w:p>
    <w:p w14:paraId="1F366FEF">
      <w:pPr>
        <w:pStyle w:val="3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制定年度应急演练计划，组织至少每半年一次的应急演练（桌面推演+实战演练）；</w:t>
      </w:r>
    </w:p>
    <w:p w14:paraId="36CA52B5">
      <w:pPr>
        <w:pStyle w:val="3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演练结束后组织复盘总结，跟踪整改落实。</w:t>
      </w:r>
    </w:p>
    <w:p w14:paraId="40C4E4E5">
      <w:pPr>
        <w:pStyle w:val="31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应急响应与处置</w:t>
      </w:r>
    </w:p>
    <w:p w14:paraId="3FB0E94A">
      <w:pPr>
        <w:pStyle w:val="3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发生重大突发事件时，启动应急响应流程，统筹协调各部门协同处置；</w:t>
      </w:r>
    </w:p>
    <w:p w14:paraId="56FF7CB1">
      <w:pPr>
        <w:pStyle w:val="3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负责应急指挥调度，确保信息传递及时、决策高效；</w:t>
      </w:r>
    </w:p>
    <w:p w14:paraId="1DC7555E">
      <w:pPr>
        <w:pStyle w:val="3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监督应急处理过程，确保按照预案要求执行。</w:t>
      </w:r>
    </w:p>
    <w:p w14:paraId="7EFEE63B">
      <w:pPr>
        <w:pStyle w:val="31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灾备与业务连续性管理</w:t>
      </w:r>
    </w:p>
    <w:p w14:paraId="2F4CAD44">
      <w:pPr>
        <w:pStyle w:val="3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负责运维服务相关的灾备体系建设与管理（数据备份、系统冗余、容灾切换）；</w:t>
      </w:r>
    </w:p>
    <w:p w14:paraId="3CF0D8B0">
      <w:pPr>
        <w:pStyle w:val="3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定期组织灾备切换演练，验证灾备系统的可用性；</w:t>
      </w:r>
    </w:p>
    <w:p w14:paraId="3139484D">
      <w:pPr>
        <w:pStyle w:val="3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评估业务连续性风险，提出改进建议。</w:t>
      </w:r>
    </w:p>
    <w:p w14:paraId="707E242E">
      <w:pPr>
        <w:pStyle w:val="31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应急事件复盘与改进</w:t>
      </w:r>
    </w:p>
    <w:p w14:paraId="71730023">
      <w:pPr>
        <w:pStyle w:val="3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重大应急事件处理后，组织复盘分析，形成《应急事件复盘报告》；</w:t>
      </w:r>
    </w:p>
    <w:p w14:paraId="559162FF">
      <w:pPr>
        <w:pStyle w:val="3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推动相关部门落实改进措施；</w:t>
      </w:r>
    </w:p>
    <w:p w14:paraId="77FBEAC3">
      <w:pPr>
        <w:pStyle w:val="3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将经验教训纳入知识库。</w:t>
      </w:r>
    </w:p>
    <w:p w14:paraId="0A8F2A30">
      <w:pPr>
        <w:pStyle w:val="31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应急物资与资源管理</w:t>
      </w:r>
    </w:p>
    <w:p w14:paraId="718AA408">
      <w:pPr>
        <w:pStyle w:val="3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负责应急物资（备用设备、应急工具等）的储备、检查和维护；</w:t>
      </w:r>
    </w:p>
    <w:p w14:paraId="170330D9">
      <w:pPr>
        <w:pStyle w:val="3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与运维部备件库协同，建立应急资源调用机制。</w:t>
      </w:r>
    </w:p>
    <w:p w14:paraId="10A829EA">
      <w:pPr>
        <w:pStyle w:val="3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BEDB2D3"/>
    <w:multiLevelType w:val="singleLevel"/>
    <w:tmpl w:val="9BEDB2D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5290608"/>
    <w:multiLevelType w:val="singleLevel"/>
    <w:tmpl w:val="B529060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5C02BC4"/>
    <w:multiLevelType w:val="singleLevel"/>
    <w:tmpl w:val="C5C02B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6A1D19C"/>
    <w:multiLevelType w:val="singleLevel"/>
    <w:tmpl w:val="C6A1D19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EB9A7FFD"/>
    <w:multiLevelType w:val="singleLevel"/>
    <w:tmpl w:val="EB9A7FF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2AFE8ACB"/>
    <w:multiLevelType w:val="singleLevel"/>
    <w:tmpl w:val="2AFE8A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74CB9FA5"/>
    <w:multiLevelType w:val="singleLevel"/>
    <w:tmpl w:val="74CB9F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56F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5138</Words>
  <Characters>5248</Characters>
  <Lines>0</Lines>
  <Paragraphs>0</Paragraphs>
  <TotalTime>1</TotalTime>
  <ScaleCrop>false</ScaleCrop>
  <LinksUpToDate>false</LinksUpToDate>
  <CharactersWithSpaces>5310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2026-03-24T13:53:31Z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