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E9AEB">
      <w:pPr>
        <w:spacing w:line="251" w:lineRule="auto"/>
        <w:rPr>
          <w:rFonts w:ascii="Arial"/>
          <w:sz w:val="21"/>
        </w:rPr>
      </w:pPr>
    </w:p>
    <w:p w14:paraId="3B2EDB8F">
      <w:pPr>
        <w:spacing w:line="251" w:lineRule="auto"/>
        <w:rPr>
          <w:rFonts w:ascii="Arial"/>
          <w:sz w:val="21"/>
        </w:rPr>
      </w:pPr>
    </w:p>
    <w:p w14:paraId="384D8FD6">
      <w:pPr>
        <w:spacing w:line="251" w:lineRule="auto"/>
        <w:rPr>
          <w:rFonts w:ascii="Arial"/>
          <w:sz w:val="21"/>
        </w:rPr>
      </w:pPr>
    </w:p>
    <w:p w14:paraId="377BF211">
      <w:pPr>
        <w:spacing w:line="252" w:lineRule="auto"/>
        <w:rPr>
          <w:rFonts w:ascii="Arial"/>
          <w:sz w:val="21"/>
        </w:rPr>
      </w:pPr>
    </w:p>
    <w:p w14:paraId="19CA4046">
      <w:pPr>
        <w:spacing w:line="252" w:lineRule="auto"/>
        <w:rPr>
          <w:rFonts w:ascii="Arial"/>
          <w:sz w:val="21"/>
        </w:rPr>
      </w:pPr>
    </w:p>
    <w:p w14:paraId="43B64F55">
      <w:pPr>
        <w:spacing w:line="252" w:lineRule="auto"/>
        <w:rPr>
          <w:rFonts w:ascii="Arial"/>
          <w:sz w:val="21"/>
        </w:rPr>
      </w:pPr>
    </w:p>
    <w:p w14:paraId="104C82BE">
      <w:pPr>
        <w:spacing w:line="252" w:lineRule="auto"/>
        <w:rPr>
          <w:rFonts w:ascii="Arial"/>
          <w:sz w:val="21"/>
        </w:rPr>
      </w:pPr>
    </w:p>
    <w:p w14:paraId="1C8645CA">
      <w:pPr>
        <w:spacing w:line="870" w:lineRule="exact"/>
        <w:ind w:firstLine="94"/>
      </w:pPr>
      <w:r>
        <w:rPr>
          <w:position w:val="-17"/>
        </w:rPr>
        <w:drawing>
          <wp:inline distT="0" distB="0" distL="0" distR="0">
            <wp:extent cx="5166360" cy="55245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5166414" cy="553017"/>
                    </a:xfrm>
                    <a:prstGeom prst="rect">
                      <a:avLst/>
                    </a:prstGeom>
                  </pic:spPr>
                </pic:pic>
              </a:graphicData>
            </a:graphic>
          </wp:inline>
        </w:drawing>
      </w:r>
    </w:p>
    <w:p w14:paraId="496BB0FB">
      <w:pPr>
        <w:spacing w:line="273" w:lineRule="auto"/>
        <w:rPr>
          <w:rFonts w:ascii="Arial"/>
          <w:sz w:val="21"/>
        </w:rPr>
      </w:pPr>
    </w:p>
    <w:p w14:paraId="3EF153E1">
      <w:pPr>
        <w:spacing w:line="273" w:lineRule="auto"/>
        <w:rPr>
          <w:rFonts w:ascii="Arial"/>
          <w:sz w:val="21"/>
        </w:rPr>
      </w:pPr>
    </w:p>
    <w:p w14:paraId="001BC13D">
      <w:pPr>
        <w:spacing w:line="273" w:lineRule="auto"/>
        <w:rPr>
          <w:rFonts w:ascii="Arial"/>
          <w:sz w:val="21"/>
        </w:rPr>
      </w:pPr>
    </w:p>
    <w:p w14:paraId="241BC219">
      <w:pPr>
        <w:spacing w:line="273" w:lineRule="auto"/>
        <w:rPr>
          <w:rFonts w:ascii="Arial"/>
          <w:sz w:val="21"/>
        </w:rPr>
      </w:pPr>
    </w:p>
    <w:p w14:paraId="6C9484FF">
      <w:pPr>
        <w:spacing w:line="273" w:lineRule="auto"/>
        <w:rPr>
          <w:rFonts w:ascii="Arial"/>
          <w:sz w:val="21"/>
        </w:rPr>
      </w:pPr>
    </w:p>
    <w:p w14:paraId="05041355">
      <w:pPr>
        <w:spacing w:line="273" w:lineRule="auto"/>
        <w:rPr>
          <w:rFonts w:ascii="Arial"/>
          <w:sz w:val="21"/>
        </w:rPr>
      </w:pPr>
    </w:p>
    <w:p w14:paraId="0D274102">
      <w:pPr>
        <w:spacing w:before="153" w:line="492" w:lineRule="auto"/>
        <w:ind w:left="0" w:leftChars="0" w:right="0" w:rightChars="0" w:firstLine="0" w:firstLineChars="0"/>
        <w:jc w:val="center"/>
        <w:rPr>
          <w:rFonts w:ascii="宋体" w:hAnsi="宋体" w:eastAsia="宋体" w:cs="宋体"/>
          <w:b/>
          <w:bCs/>
          <w:spacing w:val="4"/>
          <w:sz w:val="47"/>
          <w:szCs w:val="47"/>
        </w:rPr>
      </w:pPr>
      <w:r>
        <w:rPr>
          <w:rFonts w:ascii="宋体" w:hAnsi="宋体" w:eastAsia="宋体" w:cs="宋体"/>
          <w:b/>
          <w:bCs/>
          <w:spacing w:val="4"/>
          <w:sz w:val="47"/>
          <w:szCs w:val="47"/>
        </w:rPr>
        <w:t>天津市科远系统工程有限公司</w:t>
      </w:r>
    </w:p>
    <w:p w14:paraId="0DB26A25">
      <w:pPr>
        <w:spacing w:before="153" w:line="492" w:lineRule="auto"/>
        <w:ind w:left="0" w:leftChars="0" w:right="0" w:rightChars="0" w:firstLine="0" w:firstLineChars="0"/>
        <w:jc w:val="center"/>
        <w:rPr>
          <w:rFonts w:hint="default" w:ascii="宋体" w:hAnsi="宋体" w:eastAsia="宋体" w:cs="宋体"/>
          <w:sz w:val="47"/>
          <w:szCs w:val="47"/>
          <w:lang w:val="en-US" w:eastAsia="zh-CN"/>
        </w:rPr>
      </w:pPr>
      <w:r>
        <w:rPr>
          <w:rFonts w:hint="eastAsia" w:ascii="宋体" w:hAnsi="宋体" w:eastAsia="宋体" w:cs="宋体"/>
          <w:b/>
          <w:bCs/>
          <w:spacing w:val="4"/>
          <w:sz w:val="47"/>
          <w:szCs w:val="47"/>
        </w:rPr>
        <w:t>实施运维服务能力成熟度对服务能力提升及业务发展的促进情况</w:t>
      </w:r>
    </w:p>
    <w:p w14:paraId="72D22BF7">
      <w:pPr>
        <w:spacing w:before="12"/>
      </w:pPr>
    </w:p>
    <w:p w14:paraId="5475C977">
      <w:pPr>
        <w:spacing w:before="12"/>
      </w:pPr>
    </w:p>
    <w:p w14:paraId="3409CFC0">
      <w:pPr>
        <w:spacing w:before="12"/>
      </w:pPr>
    </w:p>
    <w:p w14:paraId="6B162A2B">
      <w:pPr>
        <w:spacing w:before="12"/>
      </w:pPr>
    </w:p>
    <w:p w14:paraId="473A1FF0">
      <w:pPr>
        <w:spacing w:before="12"/>
      </w:pPr>
    </w:p>
    <w:p w14:paraId="6BF540F3">
      <w:pPr>
        <w:spacing w:before="12"/>
      </w:pPr>
    </w:p>
    <w:p w14:paraId="23F2F3A2">
      <w:pPr>
        <w:spacing w:before="12"/>
      </w:pPr>
    </w:p>
    <w:p w14:paraId="608C5F41">
      <w:pPr>
        <w:spacing w:before="12"/>
      </w:pPr>
    </w:p>
    <w:p w14:paraId="37ECD696">
      <w:pPr>
        <w:spacing w:before="12"/>
      </w:pPr>
    </w:p>
    <w:p w14:paraId="5D06F9AE">
      <w:pPr>
        <w:spacing w:before="12"/>
      </w:pPr>
    </w:p>
    <w:p w14:paraId="769C31D9">
      <w:pPr>
        <w:spacing w:before="12"/>
      </w:pPr>
    </w:p>
    <w:tbl>
      <w:tblPr>
        <w:tblStyle w:val="24"/>
        <w:tblW w:w="7004" w:type="dxa"/>
        <w:tblInd w:w="66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29"/>
        <w:gridCol w:w="2691"/>
        <w:gridCol w:w="1282"/>
        <w:gridCol w:w="1702"/>
      </w:tblGrid>
      <w:tr w14:paraId="59018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1329" w:type="dxa"/>
            <w:shd w:val="clear" w:color="auto" w:fill="D9D9D9"/>
            <w:vAlign w:val="top"/>
          </w:tcPr>
          <w:p w14:paraId="4D237D19">
            <w:pPr>
              <w:pStyle w:val="25"/>
              <w:spacing w:before="126" w:line="219" w:lineRule="auto"/>
              <w:ind w:left="190"/>
            </w:pPr>
            <w:r>
              <w:rPr>
                <w:b/>
                <w:bCs/>
                <w:spacing w:val="-5"/>
              </w:rPr>
              <w:t>文件编号</w:t>
            </w:r>
          </w:p>
        </w:tc>
        <w:tc>
          <w:tcPr>
            <w:tcW w:w="2691" w:type="dxa"/>
            <w:vAlign w:val="top"/>
          </w:tcPr>
          <w:p w14:paraId="5996F862">
            <w:pPr>
              <w:pStyle w:val="25"/>
              <w:spacing w:before="125"/>
              <w:ind w:left="152"/>
            </w:pPr>
            <w:r>
              <w:rPr>
                <w:spacing w:val="-1"/>
              </w:rPr>
              <w:t>SciWell-ITSS-YW-1101</w:t>
            </w:r>
          </w:p>
        </w:tc>
        <w:tc>
          <w:tcPr>
            <w:tcW w:w="1282" w:type="dxa"/>
            <w:shd w:val="clear" w:color="auto" w:fill="D9D9D9"/>
            <w:vAlign w:val="top"/>
          </w:tcPr>
          <w:p w14:paraId="4A5F351A">
            <w:pPr>
              <w:pStyle w:val="25"/>
              <w:spacing w:before="125" w:line="219" w:lineRule="auto"/>
              <w:ind w:left="528"/>
            </w:pPr>
            <w:r>
              <w:rPr>
                <w:b/>
                <w:bCs/>
                <w:spacing w:val="-8"/>
              </w:rPr>
              <w:t>版本</w:t>
            </w:r>
          </w:p>
        </w:tc>
        <w:tc>
          <w:tcPr>
            <w:tcW w:w="1702" w:type="dxa"/>
            <w:vAlign w:val="top"/>
          </w:tcPr>
          <w:p w14:paraId="2A4C49ED">
            <w:pPr>
              <w:pStyle w:val="25"/>
              <w:spacing w:before="125" w:line="239" w:lineRule="auto"/>
              <w:ind w:left="612"/>
            </w:pPr>
            <w:r>
              <w:rPr>
                <w:spacing w:val="-1"/>
              </w:rPr>
              <w:t>V1.0</w:t>
            </w:r>
          </w:p>
        </w:tc>
      </w:tr>
      <w:tr w14:paraId="725EF8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1329" w:type="dxa"/>
            <w:shd w:val="clear" w:color="auto" w:fill="D9D9D9"/>
            <w:vAlign w:val="top"/>
          </w:tcPr>
          <w:p w14:paraId="1FCEC52D">
            <w:pPr>
              <w:pStyle w:val="25"/>
              <w:spacing w:before="123" w:line="220" w:lineRule="auto"/>
              <w:ind w:left="429"/>
            </w:pPr>
            <w:r>
              <w:rPr>
                <w:b/>
                <w:bCs/>
                <w:spacing w:val="-8"/>
              </w:rPr>
              <w:t>作者</w:t>
            </w:r>
          </w:p>
        </w:tc>
        <w:tc>
          <w:tcPr>
            <w:tcW w:w="2691" w:type="dxa"/>
            <w:vAlign w:val="top"/>
          </w:tcPr>
          <w:p w14:paraId="043269AC">
            <w:pPr>
              <w:pStyle w:val="25"/>
              <w:spacing w:before="123" w:line="220" w:lineRule="auto"/>
              <w:ind w:left="993"/>
            </w:pPr>
            <w:r>
              <w:rPr>
                <w:spacing w:val="-4"/>
              </w:rPr>
              <w:t>王宇昊</w:t>
            </w:r>
          </w:p>
        </w:tc>
        <w:tc>
          <w:tcPr>
            <w:tcW w:w="1282" w:type="dxa"/>
            <w:shd w:val="clear" w:color="auto" w:fill="D9D9D9"/>
            <w:vAlign w:val="top"/>
          </w:tcPr>
          <w:p w14:paraId="03A3E279">
            <w:pPr>
              <w:pStyle w:val="25"/>
              <w:spacing w:before="124" w:line="219" w:lineRule="auto"/>
              <w:ind w:left="166"/>
            </w:pPr>
            <w:r>
              <w:rPr>
                <w:b/>
                <w:bCs/>
                <w:spacing w:val="-5"/>
              </w:rPr>
              <w:t>编写日期</w:t>
            </w:r>
          </w:p>
        </w:tc>
        <w:tc>
          <w:tcPr>
            <w:tcW w:w="1702" w:type="dxa"/>
            <w:vAlign w:val="top"/>
          </w:tcPr>
          <w:p w14:paraId="3FA711EF">
            <w:pPr>
              <w:pStyle w:val="25"/>
              <w:spacing w:before="123" w:line="238" w:lineRule="auto"/>
              <w:ind w:left="261"/>
              <w:rPr>
                <w:rFonts w:hint="default" w:eastAsia="宋体"/>
                <w:lang w:val="en-US" w:eastAsia="zh-CN"/>
              </w:rPr>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25</w:t>
            </w:r>
          </w:p>
        </w:tc>
      </w:tr>
      <w:tr w14:paraId="3AC84F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329" w:type="dxa"/>
            <w:shd w:val="clear" w:color="auto" w:fill="D9D9D9"/>
            <w:vAlign w:val="top"/>
          </w:tcPr>
          <w:p w14:paraId="2F3F5573">
            <w:pPr>
              <w:pStyle w:val="25"/>
              <w:spacing w:before="139" w:line="220" w:lineRule="auto"/>
              <w:ind w:left="441"/>
            </w:pPr>
            <w:r>
              <w:rPr>
                <w:b/>
                <w:bCs/>
                <w:spacing w:val="-14"/>
              </w:rPr>
              <w:t>审核</w:t>
            </w:r>
          </w:p>
        </w:tc>
        <w:tc>
          <w:tcPr>
            <w:tcW w:w="2691" w:type="dxa"/>
            <w:vAlign w:val="top"/>
          </w:tcPr>
          <w:p w14:paraId="78EFBE2A">
            <w:pPr>
              <w:pStyle w:val="25"/>
              <w:spacing w:before="116" w:line="219" w:lineRule="auto"/>
              <w:ind w:left="991"/>
            </w:pPr>
            <w:r>
              <w:rPr>
                <w:spacing w:val="-4"/>
              </w:rPr>
              <w:t>侯永平</w:t>
            </w:r>
          </w:p>
        </w:tc>
        <w:tc>
          <w:tcPr>
            <w:tcW w:w="1282" w:type="dxa"/>
            <w:shd w:val="clear" w:color="auto" w:fill="D9D9D9"/>
            <w:vAlign w:val="top"/>
          </w:tcPr>
          <w:p w14:paraId="780D7BAD">
            <w:pPr>
              <w:pStyle w:val="25"/>
              <w:spacing w:before="139" w:line="220" w:lineRule="auto"/>
              <w:ind w:left="177"/>
            </w:pPr>
            <w:r>
              <w:rPr>
                <w:b/>
                <w:bCs/>
                <w:spacing w:val="-8"/>
              </w:rPr>
              <w:t>审核日期</w:t>
            </w:r>
          </w:p>
        </w:tc>
        <w:tc>
          <w:tcPr>
            <w:tcW w:w="1702" w:type="dxa"/>
            <w:vAlign w:val="top"/>
          </w:tcPr>
          <w:p w14:paraId="1E1F76C8">
            <w:pPr>
              <w:pStyle w:val="25"/>
              <w:spacing w:before="138"/>
              <w:ind w:left="261"/>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25</w:t>
            </w:r>
          </w:p>
        </w:tc>
      </w:tr>
      <w:tr w14:paraId="6ABCBE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1329" w:type="dxa"/>
            <w:shd w:val="clear" w:color="auto" w:fill="D9D9D9"/>
            <w:vAlign w:val="top"/>
          </w:tcPr>
          <w:p w14:paraId="55FCB215">
            <w:pPr>
              <w:pStyle w:val="25"/>
              <w:spacing w:before="124" w:line="221" w:lineRule="auto"/>
              <w:ind w:left="427"/>
            </w:pPr>
            <w:r>
              <w:rPr>
                <w:b/>
                <w:bCs/>
                <w:spacing w:val="-7"/>
              </w:rPr>
              <w:t>批准</w:t>
            </w:r>
          </w:p>
        </w:tc>
        <w:tc>
          <w:tcPr>
            <w:tcW w:w="2691" w:type="dxa"/>
            <w:vAlign w:val="top"/>
          </w:tcPr>
          <w:p w14:paraId="570A4C6F">
            <w:pPr>
              <w:pStyle w:val="25"/>
              <w:spacing w:before="125" w:line="221" w:lineRule="auto"/>
              <w:ind w:left="1110"/>
            </w:pPr>
            <w:r>
              <w:rPr>
                <w:spacing w:val="-5"/>
              </w:rPr>
              <w:t>赵洁</w:t>
            </w:r>
          </w:p>
        </w:tc>
        <w:tc>
          <w:tcPr>
            <w:tcW w:w="1282" w:type="dxa"/>
            <w:shd w:val="clear" w:color="auto" w:fill="D8D8D8"/>
            <w:vAlign w:val="top"/>
          </w:tcPr>
          <w:p w14:paraId="5C3395FB">
            <w:pPr>
              <w:pStyle w:val="25"/>
              <w:spacing w:before="125" w:line="220" w:lineRule="auto"/>
              <w:ind w:left="163"/>
            </w:pPr>
            <w:r>
              <w:rPr>
                <w:b/>
                <w:bCs/>
                <w:spacing w:val="-5"/>
              </w:rPr>
              <w:t>批准日期</w:t>
            </w:r>
          </w:p>
        </w:tc>
        <w:tc>
          <w:tcPr>
            <w:tcW w:w="1702" w:type="dxa"/>
            <w:vAlign w:val="top"/>
          </w:tcPr>
          <w:p w14:paraId="40D78956">
            <w:pPr>
              <w:pStyle w:val="25"/>
              <w:spacing w:before="124" w:line="237" w:lineRule="auto"/>
              <w:ind w:left="261"/>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25</w:t>
            </w:r>
          </w:p>
        </w:tc>
      </w:tr>
      <w:tr w14:paraId="6E6106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6" w:hRule="atLeast"/>
        </w:trPr>
        <w:tc>
          <w:tcPr>
            <w:tcW w:w="1329" w:type="dxa"/>
            <w:shd w:val="clear" w:color="auto" w:fill="D9D9D9"/>
            <w:vAlign w:val="top"/>
          </w:tcPr>
          <w:p w14:paraId="24D252B7">
            <w:pPr>
              <w:pStyle w:val="25"/>
              <w:spacing w:before="130" w:line="219" w:lineRule="auto"/>
              <w:ind w:left="192"/>
            </w:pPr>
            <w:r>
              <w:rPr>
                <w:b/>
                <w:bCs/>
                <w:spacing w:val="-6"/>
              </w:rPr>
              <w:t>发布范围</w:t>
            </w:r>
          </w:p>
        </w:tc>
        <w:tc>
          <w:tcPr>
            <w:tcW w:w="2691" w:type="dxa"/>
            <w:vAlign w:val="top"/>
          </w:tcPr>
          <w:p w14:paraId="4A72968F">
            <w:pPr>
              <w:pStyle w:val="25"/>
              <w:spacing w:before="131" w:line="219" w:lineRule="auto"/>
              <w:ind w:left="1020"/>
            </w:pPr>
            <w:r>
              <w:rPr>
                <w:spacing w:val="-20"/>
              </w:rPr>
              <w:t>内</w:t>
            </w:r>
            <w:r>
              <w:rPr>
                <w:spacing w:val="6"/>
              </w:rPr>
              <w:t xml:space="preserve">  </w:t>
            </w:r>
            <w:r>
              <w:rPr>
                <w:spacing w:val="-20"/>
              </w:rPr>
              <w:t>部</w:t>
            </w:r>
          </w:p>
        </w:tc>
        <w:tc>
          <w:tcPr>
            <w:tcW w:w="1282" w:type="dxa"/>
            <w:shd w:val="clear" w:color="auto" w:fill="D8D8D8"/>
            <w:vAlign w:val="top"/>
          </w:tcPr>
          <w:p w14:paraId="24CE135F">
            <w:pPr>
              <w:pStyle w:val="25"/>
              <w:spacing w:before="130" w:line="219" w:lineRule="auto"/>
              <w:ind w:left="168"/>
            </w:pPr>
            <w:r>
              <w:rPr>
                <w:b/>
                <w:bCs/>
                <w:spacing w:val="-6"/>
              </w:rPr>
              <w:t>发布日期</w:t>
            </w:r>
          </w:p>
        </w:tc>
        <w:tc>
          <w:tcPr>
            <w:tcW w:w="1702" w:type="dxa"/>
            <w:vAlign w:val="top"/>
          </w:tcPr>
          <w:p w14:paraId="62CDF88A">
            <w:pPr>
              <w:pStyle w:val="25"/>
              <w:spacing w:before="130"/>
              <w:ind w:left="261"/>
              <w:rPr>
                <w:rFonts w:hint="default"/>
                <w:lang w:val="en-US"/>
              </w:rPr>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26</w:t>
            </w:r>
          </w:p>
        </w:tc>
      </w:tr>
    </w:tbl>
    <w:p w14:paraId="78B1E0AB">
      <w:pPr>
        <w:rPr>
          <w:rFonts w:ascii="Arial"/>
          <w:sz w:val="21"/>
        </w:rPr>
      </w:pPr>
    </w:p>
    <w:p w14:paraId="247608EF">
      <w:pPr>
        <w:rPr>
          <w:rFonts w:ascii="Arial" w:hAnsi="Arial" w:eastAsia="Arial" w:cs="Arial"/>
          <w:sz w:val="21"/>
          <w:szCs w:val="21"/>
        </w:rPr>
        <w:sectPr>
          <w:pgSz w:w="11906" w:h="16839"/>
          <w:pgMar w:top="1122" w:right="1785" w:bottom="0" w:left="1785" w:header="597" w:footer="0" w:gutter="0"/>
          <w:cols w:space="720" w:num="1"/>
        </w:sectPr>
      </w:pPr>
    </w:p>
    <w:p w14:paraId="7FEA76F9">
      <w:pPr>
        <w:spacing w:line="396" w:lineRule="auto"/>
        <w:rPr>
          <w:rFonts w:ascii="Arial"/>
          <w:sz w:val="21"/>
        </w:rPr>
      </w:pPr>
    </w:p>
    <w:p w14:paraId="08202E24">
      <w:pPr>
        <w:pStyle w:val="12"/>
        <w:spacing w:before="91" w:line="220" w:lineRule="auto"/>
        <w:ind w:left="3336"/>
        <w:rPr>
          <w:sz w:val="28"/>
          <w:szCs w:val="28"/>
        </w:rPr>
      </w:pPr>
      <w:r>
        <w:rPr>
          <w:b/>
          <w:bCs/>
          <w:spacing w:val="-4"/>
          <w:sz w:val="28"/>
          <w:szCs w:val="28"/>
        </w:rPr>
        <w:t>文档修订信息</w:t>
      </w:r>
    </w:p>
    <w:p w14:paraId="1B996974">
      <w:pPr>
        <w:spacing w:before="188"/>
      </w:pPr>
    </w:p>
    <w:tbl>
      <w:tblPr>
        <w:tblStyle w:val="24"/>
        <w:tblW w:w="8261"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9"/>
        <w:gridCol w:w="1532"/>
        <w:gridCol w:w="1671"/>
        <w:gridCol w:w="1915"/>
        <w:gridCol w:w="1854"/>
      </w:tblGrid>
      <w:tr w14:paraId="10259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289" w:type="dxa"/>
            <w:shd w:val="clear" w:color="auto" w:fill="E5E5E5"/>
            <w:vAlign w:val="top"/>
          </w:tcPr>
          <w:p w14:paraId="717090D7">
            <w:pPr>
              <w:pStyle w:val="25"/>
              <w:spacing w:before="156" w:line="219" w:lineRule="auto"/>
              <w:ind w:left="288"/>
            </w:pPr>
            <w:r>
              <w:rPr>
                <w:b/>
                <w:bCs/>
                <w:spacing w:val="-6"/>
              </w:rPr>
              <w:t>版本号</w:t>
            </w:r>
          </w:p>
        </w:tc>
        <w:tc>
          <w:tcPr>
            <w:tcW w:w="1532" w:type="dxa"/>
            <w:shd w:val="clear" w:color="auto" w:fill="E5E5E5"/>
            <w:vAlign w:val="top"/>
          </w:tcPr>
          <w:p w14:paraId="6400561A">
            <w:pPr>
              <w:pStyle w:val="25"/>
              <w:spacing w:before="157" w:line="219" w:lineRule="auto"/>
              <w:ind w:left="287"/>
            </w:pPr>
            <w:r>
              <w:rPr>
                <w:b/>
                <w:bCs/>
                <w:spacing w:val="-5"/>
              </w:rPr>
              <w:t>修订日期</w:t>
            </w:r>
          </w:p>
        </w:tc>
        <w:tc>
          <w:tcPr>
            <w:tcW w:w="1671" w:type="dxa"/>
            <w:shd w:val="clear" w:color="auto" w:fill="E5E5E5"/>
            <w:vAlign w:val="top"/>
          </w:tcPr>
          <w:p w14:paraId="56FFF718">
            <w:pPr>
              <w:pStyle w:val="25"/>
              <w:spacing w:before="157" w:line="219" w:lineRule="auto"/>
              <w:ind w:left="478"/>
            </w:pPr>
            <w:r>
              <w:rPr>
                <w:b/>
                <w:bCs/>
                <w:spacing w:val="-5"/>
              </w:rPr>
              <w:t>修订人</w:t>
            </w:r>
          </w:p>
        </w:tc>
        <w:tc>
          <w:tcPr>
            <w:tcW w:w="1915" w:type="dxa"/>
            <w:shd w:val="clear" w:color="auto" w:fill="E5E5E5"/>
            <w:vAlign w:val="top"/>
          </w:tcPr>
          <w:p w14:paraId="4041E0ED">
            <w:pPr>
              <w:pStyle w:val="25"/>
              <w:spacing w:before="157" w:line="219" w:lineRule="auto"/>
              <w:ind w:left="482"/>
            </w:pPr>
            <w:r>
              <w:rPr>
                <w:b/>
                <w:bCs/>
                <w:spacing w:val="-5"/>
              </w:rPr>
              <w:t>修订说明</w:t>
            </w:r>
          </w:p>
        </w:tc>
        <w:tc>
          <w:tcPr>
            <w:tcW w:w="1854" w:type="dxa"/>
            <w:shd w:val="clear" w:color="auto" w:fill="E5E5E5"/>
            <w:vAlign w:val="top"/>
          </w:tcPr>
          <w:p w14:paraId="35142B5F">
            <w:pPr>
              <w:pStyle w:val="25"/>
              <w:spacing w:before="156" w:line="221" w:lineRule="auto"/>
              <w:ind w:left="694"/>
            </w:pPr>
            <w:r>
              <w:rPr>
                <w:b/>
                <w:bCs/>
                <w:spacing w:val="-9"/>
              </w:rPr>
              <w:t>备注</w:t>
            </w:r>
          </w:p>
        </w:tc>
      </w:tr>
      <w:tr w14:paraId="3A79F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1289" w:type="dxa"/>
            <w:vAlign w:val="top"/>
          </w:tcPr>
          <w:p w14:paraId="48436755">
            <w:pPr>
              <w:pStyle w:val="25"/>
              <w:spacing w:before="147" w:line="239" w:lineRule="auto"/>
              <w:ind w:left="416"/>
            </w:pPr>
            <w:r>
              <w:rPr>
                <w:spacing w:val="-1"/>
              </w:rPr>
              <w:t>V1.0</w:t>
            </w:r>
          </w:p>
        </w:tc>
        <w:tc>
          <w:tcPr>
            <w:tcW w:w="1532" w:type="dxa"/>
            <w:vAlign w:val="top"/>
          </w:tcPr>
          <w:p w14:paraId="689977A6">
            <w:pPr>
              <w:pStyle w:val="25"/>
              <w:spacing w:before="147"/>
              <w:ind w:left="184"/>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25</w:t>
            </w:r>
          </w:p>
        </w:tc>
        <w:tc>
          <w:tcPr>
            <w:tcW w:w="1671" w:type="dxa"/>
            <w:vAlign w:val="top"/>
          </w:tcPr>
          <w:p w14:paraId="619358FD">
            <w:pPr>
              <w:pStyle w:val="25"/>
              <w:spacing w:before="148" w:line="220" w:lineRule="auto"/>
              <w:ind w:left="494"/>
            </w:pPr>
            <w:r>
              <w:rPr>
                <w:spacing w:val="-4"/>
              </w:rPr>
              <w:t>王宇昊</w:t>
            </w:r>
          </w:p>
        </w:tc>
        <w:tc>
          <w:tcPr>
            <w:tcW w:w="1915" w:type="dxa"/>
            <w:vAlign w:val="top"/>
          </w:tcPr>
          <w:p w14:paraId="0D312532">
            <w:pPr>
              <w:pStyle w:val="25"/>
              <w:spacing w:before="148" w:line="220" w:lineRule="auto"/>
              <w:ind w:left="737"/>
            </w:pPr>
            <w:r>
              <w:rPr>
                <w:spacing w:val="-6"/>
              </w:rPr>
              <w:t>新建</w:t>
            </w:r>
          </w:p>
        </w:tc>
        <w:tc>
          <w:tcPr>
            <w:tcW w:w="1854" w:type="dxa"/>
            <w:vAlign w:val="top"/>
          </w:tcPr>
          <w:p w14:paraId="0BC09DF2">
            <w:pPr>
              <w:rPr>
                <w:rFonts w:ascii="Arial"/>
                <w:sz w:val="21"/>
              </w:rPr>
            </w:pPr>
          </w:p>
        </w:tc>
      </w:tr>
      <w:tr w14:paraId="20DEA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1289" w:type="dxa"/>
            <w:vAlign w:val="top"/>
          </w:tcPr>
          <w:p w14:paraId="459FB4C1">
            <w:pPr>
              <w:rPr>
                <w:rFonts w:ascii="Arial"/>
                <w:sz w:val="21"/>
              </w:rPr>
            </w:pPr>
          </w:p>
        </w:tc>
        <w:tc>
          <w:tcPr>
            <w:tcW w:w="1532" w:type="dxa"/>
            <w:vAlign w:val="top"/>
          </w:tcPr>
          <w:p w14:paraId="3BD3F997">
            <w:pPr>
              <w:rPr>
                <w:rFonts w:ascii="Arial"/>
                <w:sz w:val="21"/>
              </w:rPr>
            </w:pPr>
          </w:p>
        </w:tc>
        <w:tc>
          <w:tcPr>
            <w:tcW w:w="1671" w:type="dxa"/>
            <w:vAlign w:val="top"/>
          </w:tcPr>
          <w:p w14:paraId="4B3F0A20">
            <w:pPr>
              <w:rPr>
                <w:rFonts w:ascii="Arial"/>
                <w:sz w:val="21"/>
              </w:rPr>
            </w:pPr>
          </w:p>
        </w:tc>
        <w:tc>
          <w:tcPr>
            <w:tcW w:w="1915" w:type="dxa"/>
            <w:vAlign w:val="top"/>
          </w:tcPr>
          <w:p w14:paraId="61AA5083">
            <w:pPr>
              <w:rPr>
                <w:rFonts w:ascii="Arial"/>
                <w:sz w:val="21"/>
              </w:rPr>
            </w:pPr>
          </w:p>
        </w:tc>
        <w:tc>
          <w:tcPr>
            <w:tcW w:w="1854" w:type="dxa"/>
            <w:vAlign w:val="top"/>
          </w:tcPr>
          <w:p w14:paraId="15B19779">
            <w:pPr>
              <w:rPr>
                <w:rFonts w:ascii="Arial"/>
                <w:sz w:val="21"/>
              </w:rPr>
            </w:pPr>
          </w:p>
        </w:tc>
      </w:tr>
      <w:tr w14:paraId="77346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1289" w:type="dxa"/>
            <w:vAlign w:val="top"/>
          </w:tcPr>
          <w:p w14:paraId="09A307C4">
            <w:pPr>
              <w:rPr>
                <w:rFonts w:ascii="Arial"/>
                <w:sz w:val="21"/>
              </w:rPr>
            </w:pPr>
          </w:p>
        </w:tc>
        <w:tc>
          <w:tcPr>
            <w:tcW w:w="1532" w:type="dxa"/>
            <w:vAlign w:val="top"/>
          </w:tcPr>
          <w:p w14:paraId="29A82965">
            <w:pPr>
              <w:rPr>
                <w:rFonts w:ascii="Arial"/>
                <w:sz w:val="21"/>
              </w:rPr>
            </w:pPr>
          </w:p>
        </w:tc>
        <w:tc>
          <w:tcPr>
            <w:tcW w:w="1671" w:type="dxa"/>
            <w:vAlign w:val="top"/>
          </w:tcPr>
          <w:p w14:paraId="129EA3A6">
            <w:pPr>
              <w:rPr>
                <w:rFonts w:ascii="Arial"/>
                <w:sz w:val="21"/>
              </w:rPr>
            </w:pPr>
          </w:p>
        </w:tc>
        <w:tc>
          <w:tcPr>
            <w:tcW w:w="1915" w:type="dxa"/>
            <w:vAlign w:val="top"/>
          </w:tcPr>
          <w:p w14:paraId="72048F19">
            <w:pPr>
              <w:rPr>
                <w:rFonts w:ascii="Arial"/>
                <w:sz w:val="21"/>
              </w:rPr>
            </w:pPr>
          </w:p>
        </w:tc>
        <w:tc>
          <w:tcPr>
            <w:tcW w:w="1854" w:type="dxa"/>
            <w:vAlign w:val="top"/>
          </w:tcPr>
          <w:p w14:paraId="7FA58D1D">
            <w:pPr>
              <w:rPr>
                <w:rFonts w:ascii="Arial"/>
                <w:sz w:val="21"/>
              </w:rPr>
            </w:pPr>
          </w:p>
        </w:tc>
      </w:tr>
      <w:tr w14:paraId="300F0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289" w:type="dxa"/>
            <w:vAlign w:val="top"/>
          </w:tcPr>
          <w:p w14:paraId="2681E117">
            <w:pPr>
              <w:rPr>
                <w:rFonts w:ascii="Arial"/>
                <w:sz w:val="21"/>
              </w:rPr>
            </w:pPr>
          </w:p>
        </w:tc>
        <w:tc>
          <w:tcPr>
            <w:tcW w:w="1532" w:type="dxa"/>
            <w:vAlign w:val="top"/>
          </w:tcPr>
          <w:p w14:paraId="1A2755C4">
            <w:pPr>
              <w:rPr>
                <w:rFonts w:ascii="Arial"/>
                <w:sz w:val="21"/>
              </w:rPr>
            </w:pPr>
          </w:p>
        </w:tc>
        <w:tc>
          <w:tcPr>
            <w:tcW w:w="1671" w:type="dxa"/>
            <w:vAlign w:val="top"/>
          </w:tcPr>
          <w:p w14:paraId="48015DD1">
            <w:pPr>
              <w:rPr>
                <w:rFonts w:ascii="Arial"/>
                <w:sz w:val="21"/>
              </w:rPr>
            </w:pPr>
          </w:p>
        </w:tc>
        <w:tc>
          <w:tcPr>
            <w:tcW w:w="1915" w:type="dxa"/>
            <w:vAlign w:val="top"/>
          </w:tcPr>
          <w:p w14:paraId="1AD72E9A">
            <w:pPr>
              <w:rPr>
                <w:rFonts w:ascii="Arial"/>
                <w:sz w:val="21"/>
              </w:rPr>
            </w:pPr>
          </w:p>
        </w:tc>
        <w:tc>
          <w:tcPr>
            <w:tcW w:w="1854" w:type="dxa"/>
            <w:vAlign w:val="top"/>
          </w:tcPr>
          <w:p w14:paraId="01750EEF">
            <w:pPr>
              <w:rPr>
                <w:rFonts w:ascii="Arial"/>
                <w:sz w:val="21"/>
              </w:rPr>
            </w:pPr>
          </w:p>
        </w:tc>
      </w:tr>
      <w:tr w14:paraId="4F347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89" w:type="dxa"/>
            <w:vAlign w:val="top"/>
          </w:tcPr>
          <w:p w14:paraId="466FB6E8">
            <w:pPr>
              <w:rPr>
                <w:rFonts w:ascii="Arial"/>
                <w:sz w:val="21"/>
              </w:rPr>
            </w:pPr>
          </w:p>
        </w:tc>
        <w:tc>
          <w:tcPr>
            <w:tcW w:w="1532" w:type="dxa"/>
            <w:vAlign w:val="top"/>
          </w:tcPr>
          <w:p w14:paraId="0DB33D92">
            <w:pPr>
              <w:rPr>
                <w:rFonts w:ascii="Arial"/>
                <w:sz w:val="21"/>
              </w:rPr>
            </w:pPr>
          </w:p>
        </w:tc>
        <w:tc>
          <w:tcPr>
            <w:tcW w:w="1671" w:type="dxa"/>
            <w:vAlign w:val="top"/>
          </w:tcPr>
          <w:p w14:paraId="6F09F9C2">
            <w:pPr>
              <w:rPr>
                <w:rFonts w:ascii="Arial"/>
                <w:sz w:val="21"/>
              </w:rPr>
            </w:pPr>
          </w:p>
        </w:tc>
        <w:tc>
          <w:tcPr>
            <w:tcW w:w="1915" w:type="dxa"/>
            <w:vAlign w:val="top"/>
          </w:tcPr>
          <w:p w14:paraId="3E166984">
            <w:pPr>
              <w:rPr>
                <w:rFonts w:ascii="Arial"/>
                <w:sz w:val="21"/>
              </w:rPr>
            </w:pPr>
          </w:p>
        </w:tc>
        <w:tc>
          <w:tcPr>
            <w:tcW w:w="1854" w:type="dxa"/>
            <w:vAlign w:val="top"/>
          </w:tcPr>
          <w:p w14:paraId="347E4B83">
            <w:pPr>
              <w:rPr>
                <w:rFonts w:ascii="Arial"/>
                <w:sz w:val="21"/>
              </w:rPr>
            </w:pPr>
          </w:p>
        </w:tc>
      </w:tr>
    </w:tbl>
    <w:p w14:paraId="5299CB54">
      <w:pPr>
        <w:rPr>
          <w:rFonts w:ascii="Arial"/>
          <w:sz w:val="21"/>
        </w:rPr>
      </w:pPr>
    </w:p>
    <w:p w14:paraId="56D5D8BF">
      <w:pPr>
        <w:rPr>
          <w:rFonts w:ascii="Arial" w:hAnsi="Arial" w:eastAsia="Arial" w:cs="Arial"/>
          <w:sz w:val="21"/>
          <w:szCs w:val="21"/>
        </w:rPr>
        <w:sectPr>
          <w:pgSz w:w="11906" w:h="16839"/>
          <w:pgMar w:top="1122" w:right="1785" w:bottom="0" w:left="1785" w:header="597" w:footer="0" w:gutter="0"/>
          <w:cols w:space="720" w:num="1"/>
        </w:sectPr>
      </w:pPr>
    </w:p>
    <w:p w14:paraId="5B7F2C3C">
      <w:pPr>
        <w:spacing w:line="368" w:lineRule="auto"/>
        <w:rPr>
          <w:rFonts w:ascii="Arial"/>
          <w:sz w:val="21"/>
        </w:rPr>
      </w:pPr>
    </w:p>
    <w:sdt>
      <w:sdtPr>
        <w:rPr>
          <w:rFonts w:ascii="宋体" w:hAnsi="宋体" w:eastAsia="宋体" w:cs="Arial"/>
          <w:snapToGrid w:val="0"/>
          <w:color w:val="000000"/>
          <w:kern w:val="0"/>
          <w:sz w:val="21"/>
          <w:szCs w:val="21"/>
          <w:lang w:val="en-US" w:eastAsia="en-US" w:bidi="ar-SA"/>
        </w:rPr>
        <w:id w:val="147472183"/>
        <w15:color w:val="DBDBDB"/>
        <w:docPartObj>
          <w:docPartGallery w:val="Table of Contents"/>
          <w:docPartUnique/>
        </w:docPartObj>
      </w:sdtPr>
      <w:sdtEndPr>
        <w:rPr>
          <w:rFonts w:ascii="Arial" w:hAnsi="Arial" w:eastAsia="宋体" w:cs="Arial"/>
          <w:snapToGrid w:val="0"/>
          <w:color w:val="000000"/>
          <w:kern w:val="0"/>
          <w:sz w:val="21"/>
          <w:szCs w:val="24"/>
          <w:lang w:val="en-US" w:eastAsia="en-US" w:bidi="ar-SA"/>
        </w:rPr>
      </w:sdtEndPr>
      <w:sdtContent>
        <w:p w14:paraId="3B96256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545AACD">
          <w:pPr>
            <w:pStyle w:val="16"/>
            <w:tabs>
              <w:tab w:val="right" w:leader="dot" w:pos="8336"/>
            </w:tabs>
          </w:pPr>
          <w:r>
            <w:rPr>
              <w:sz w:val="24"/>
              <w:szCs w:val="24"/>
            </w:rPr>
            <w:fldChar w:fldCharType="begin"/>
          </w:r>
          <w:r>
            <w:rPr>
              <w:sz w:val="24"/>
              <w:szCs w:val="24"/>
            </w:rPr>
            <w:instrText xml:space="preserve">TOC \o "1-3" \h \u </w:instrText>
          </w:r>
          <w:r>
            <w:rPr>
              <w:sz w:val="24"/>
              <w:szCs w:val="24"/>
            </w:rPr>
            <w:fldChar w:fldCharType="separate"/>
          </w:r>
          <w:r>
            <w:rPr>
              <w:szCs w:val="24"/>
            </w:rPr>
            <w:fldChar w:fldCharType="begin"/>
          </w:r>
          <w:r>
            <w:rPr>
              <w:szCs w:val="24"/>
            </w:rPr>
            <w:instrText xml:space="preserve"> HYPERLINK \l _Toc20915 </w:instrText>
          </w:r>
          <w:r>
            <w:rPr>
              <w:szCs w:val="24"/>
            </w:rPr>
            <w:fldChar w:fldCharType="separate"/>
          </w:r>
          <w:r>
            <w:rPr>
              <w:rFonts w:hint="eastAsia" w:ascii="宋体" w:hAnsi="宋体"/>
              <w:szCs w:val="30"/>
            </w:rPr>
            <w:t xml:space="preserve">一、 </w:t>
          </w:r>
          <w:r>
            <w:rPr>
              <w:rFonts w:hint="eastAsia" w:ascii="宋体" w:hAnsi="宋体" w:cs="Times New Roman"/>
              <w:szCs w:val="30"/>
            </w:rPr>
            <w:t>近三年K</w:t>
          </w:r>
          <w:r>
            <w:rPr>
              <w:rFonts w:ascii="宋体" w:hAnsi="宋体" w:cs="Times New Roman"/>
              <w:szCs w:val="30"/>
            </w:rPr>
            <w:t>PI</w:t>
          </w:r>
          <w:r>
            <w:rPr>
              <w:rFonts w:hint="eastAsia" w:ascii="宋体" w:hAnsi="宋体" w:cs="Times New Roman"/>
              <w:szCs w:val="30"/>
            </w:rPr>
            <w:t>数据对比</w:t>
          </w:r>
          <w:r>
            <w:tab/>
          </w:r>
          <w:r>
            <w:fldChar w:fldCharType="begin"/>
          </w:r>
          <w:r>
            <w:instrText xml:space="preserve"> PAGEREF _Toc20915 \h </w:instrText>
          </w:r>
          <w:r>
            <w:fldChar w:fldCharType="separate"/>
          </w:r>
          <w:r>
            <w:t>4</w:t>
          </w:r>
          <w:r>
            <w:fldChar w:fldCharType="end"/>
          </w:r>
          <w:r>
            <w:rPr>
              <w:szCs w:val="24"/>
            </w:rPr>
            <w:fldChar w:fldCharType="end"/>
          </w:r>
        </w:p>
        <w:p w14:paraId="5516E011">
          <w:pPr>
            <w:pStyle w:val="16"/>
            <w:tabs>
              <w:tab w:val="right" w:leader="dot" w:pos="8336"/>
            </w:tabs>
          </w:pPr>
          <w:r>
            <w:rPr>
              <w:szCs w:val="24"/>
            </w:rPr>
            <w:fldChar w:fldCharType="begin"/>
          </w:r>
          <w:r>
            <w:rPr>
              <w:szCs w:val="24"/>
            </w:rPr>
            <w:instrText xml:space="preserve"> HYPERLINK \l _Toc28806 </w:instrText>
          </w:r>
          <w:r>
            <w:rPr>
              <w:szCs w:val="24"/>
            </w:rPr>
            <w:fldChar w:fldCharType="separate"/>
          </w:r>
          <w:r>
            <w:rPr>
              <w:rFonts w:ascii="宋体" w:hAnsi="宋体" w:eastAsia="宋体" w:cs="Times New Roman"/>
              <w:bCs w:val="0"/>
              <w:szCs w:val="22"/>
            </w:rPr>
            <w:t>20</w:t>
          </w:r>
          <w:r>
            <w:rPr>
              <w:rFonts w:hint="eastAsia" w:ascii="宋体" w:hAnsi="宋体" w:cs="Times New Roman"/>
              <w:bCs w:val="0"/>
              <w:szCs w:val="22"/>
              <w:lang w:val="en-US" w:eastAsia="zh-CN"/>
            </w:rPr>
            <w:t>22</w:t>
          </w:r>
          <w:r>
            <w:rPr>
              <w:rFonts w:ascii="宋体" w:hAnsi="宋体" w:eastAsia="宋体" w:cs="Times New Roman"/>
              <w:bCs w:val="0"/>
              <w:szCs w:val="22"/>
            </w:rPr>
            <w:t>-202</w:t>
          </w:r>
          <w:r>
            <w:rPr>
              <w:rFonts w:hint="eastAsia" w:ascii="宋体" w:hAnsi="宋体" w:cs="Times New Roman"/>
              <w:bCs w:val="0"/>
              <w:szCs w:val="22"/>
              <w:lang w:val="en-US" w:eastAsia="zh-CN"/>
            </w:rPr>
            <w:t>5</w:t>
          </w:r>
          <w:r>
            <w:rPr>
              <w:rFonts w:ascii="宋体" w:hAnsi="宋体" w:eastAsia="宋体" w:cs="Times New Roman"/>
              <w:bCs w:val="0"/>
              <w:szCs w:val="22"/>
            </w:rPr>
            <w:t>年</w:t>
          </w:r>
          <w:r>
            <w:rPr>
              <w:rFonts w:hint="eastAsia" w:ascii="宋体" w:hAnsi="宋体" w:cs="Times New Roman"/>
              <w:bCs w:val="0"/>
              <w:szCs w:val="22"/>
              <w:lang w:eastAsia="zh-CN"/>
            </w:rPr>
            <w:t>（</w:t>
          </w:r>
          <w:r>
            <w:rPr>
              <w:rFonts w:hint="eastAsia" w:ascii="宋体" w:hAnsi="宋体" w:cs="Times New Roman"/>
              <w:bCs w:val="0"/>
              <w:szCs w:val="22"/>
              <w:lang w:val="en-US" w:eastAsia="zh-CN"/>
            </w:rPr>
            <w:t>2025年截至10月</w:t>
          </w:r>
          <w:r>
            <w:rPr>
              <w:rFonts w:hint="eastAsia" w:ascii="宋体" w:hAnsi="宋体" w:cs="Times New Roman"/>
              <w:bCs w:val="0"/>
              <w:szCs w:val="22"/>
              <w:lang w:eastAsia="zh-CN"/>
            </w:rPr>
            <w:t>）</w:t>
          </w:r>
          <w:r>
            <w:rPr>
              <w:rFonts w:ascii="宋体" w:hAnsi="宋体" w:eastAsia="宋体" w:cs="Times New Roman"/>
              <w:bCs w:val="0"/>
              <w:szCs w:val="22"/>
            </w:rPr>
            <w:t>服务管理目标度量计划完成情况</w:t>
          </w:r>
          <w:r>
            <w:tab/>
          </w:r>
          <w:r>
            <w:fldChar w:fldCharType="begin"/>
          </w:r>
          <w:r>
            <w:instrText xml:space="preserve"> PAGEREF _Toc28806 \h </w:instrText>
          </w:r>
          <w:r>
            <w:fldChar w:fldCharType="separate"/>
          </w:r>
          <w:r>
            <w:t>4</w:t>
          </w:r>
          <w:r>
            <w:fldChar w:fldCharType="end"/>
          </w:r>
          <w:r>
            <w:rPr>
              <w:szCs w:val="24"/>
            </w:rPr>
            <w:fldChar w:fldCharType="end"/>
          </w:r>
        </w:p>
        <w:p w14:paraId="3DDE2A83">
          <w:pPr>
            <w:pStyle w:val="16"/>
            <w:tabs>
              <w:tab w:val="right" w:leader="dot" w:pos="8336"/>
            </w:tabs>
          </w:pPr>
          <w:r>
            <w:rPr>
              <w:szCs w:val="24"/>
            </w:rPr>
            <w:fldChar w:fldCharType="begin"/>
          </w:r>
          <w:r>
            <w:rPr>
              <w:szCs w:val="24"/>
            </w:rPr>
            <w:instrText xml:space="preserve"> HYPERLINK \l _Toc11882 </w:instrText>
          </w:r>
          <w:r>
            <w:rPr>
              <w:szCs w:val="24"/>
            </w:rPr>
            <w:fldChar w:fldCharType="separate"/>
          </w:r>
          <w:r>
            <w:rPr>
              <w:rFonts w:hint="eastAsia" w:ascii="宋体" w:hAnsi="宋体" w:cs="Times New Roman"/>
              <w:szCs w:val="30"/>
            </w:rPr>
            <w:t xml:space="preserve">二、 </w:t>
          </w:r>
          <w:r>
            <w:rPr>
              <w:rFonts w:hint="default" w:ascii="宋体" w:hAnsi="宋体" w:cs="Times New Roman"/>
              <w:szCs w:val="30"/>
              <w:lang w:val="en-US" w:eastAsia="zh-CN"/>
            </w:rPr>
            <w:t>ITSS体系带来的发展</w:t>
          </w:r>
          <w:r>
            <w:tab/>
          </w:r>
          <w:r>
            <w:fldChar w:fldCharType="begin"/>
          </w:r>
          <w:r>
            <w:instrText xml:space="preserve"> PAGEREF _Toc11882 \h </w:instrText>
          </w:r>
          <w:r>
            <w:fldChar w:fldCharType="separate"/>
          </w:r>
          <w:r>
            <w:t>5</w:t>
          </w:r>
          <w:r>
            <w:fldChar w:fldCharType="end"/>
          </w:r>
          <w:r>
            <w:rPr>
              <w:szCs w:val="24"/>
            </w:rPr>
            <w:fldChar w:fldCharType="end"/>
          </w:r>
        </w:p>
        <w:p w14:paraId="7484CF5D">
          <w:pPr>
            <w:pStyle w:val="16"/>
            <w:tabs>
              <w:tab w:val="right" w:leader="dot" w:pos="8336"/>
            </w:tabs>
          </w:pPr>
          <w:r>
            <w:rPr>
              <w:szCs w:val="24"/>
            </w:rPr>
            <w:fldChar w:fldCharType="begin"/>
          </w:r>
          <w:r>
            <w:rPr>
              <w:szCs w:val="24"/>
            </w:rPr>
            <w:instrText xml:space="preserve"> HYPERLINK \l _Toc2201 </w:instrText>
          </w:r>
          <w:r>
            <w:rPr>
              <w:szCs w:val="24"/>
            </w:rPr>
            <w:fldChar w:fldCharType="separate"/>
          </w:r>
          <w:r>
            <w:rPr>
              <w:rFonts w:hint="eastAsia" w:ascii="宋体" w:hAnsi="宋体" w:cs="Times New Roman"/>
              <w:szCs w:val="30"/>
              <w:lang w:val="en-US" w:eastAsia="zh-CN"/>
            </w:rPr>
            <w:t>三、 业务发展情况</w:t>
          </w:r>
          <w:r>
            <w:tab/>
          </w:r>
          <w:r>
            <w:fldChar w:fldCharType="begin"/>
          </w:r>
          <w:r>
            <w:instrText xml:space="preserve"> PAGEREF _Toc2201 \h </w:instrText>
          </w:r>
          <w:r>
            <w:fldChar w:fldCharType="separate"/>
          </w:r>
          <w:r>
            <w:t>6</w:t>
          </w:r>
          <w:r>
            <w:fldChar w:fldCharType="end"/>
          </w:r>
          <w:r>
            <w:rPr>
              <w:szCs w:val="24"/>
            </w:rPr>
            <w:fldChar w:fldCharType="end"/>
          </w:r>
        </w:p>
        <w:p w14:paraId="517DE978">
          <w:pPr>
            <w:pStyle w:val="16"/>
            <w:tabs>
              <w:tab w:val="right" w:leader="dot" w:pos="8336"/>
            </w:tabs>
          </w:pPr>
          <w:r>
            <w:rPr>
              <w:szCs w:val="24"/>
            </w:rPr>
            <w:fldChar w:fldCharType="begin"/>
          </w:r>
          <w:r>
            <w:rPr>
              <w:szCs w:val="24"/>
            </w:rPr>
            <w:instrText xml:space="preserve"> HYPERLINK \l _Toc21928 </w:instrText>
          </w:r>
          <w:r>
            <w:rPr>
              <w:szCs w:val="24"/>
            </w:rPr>
            <w:fldChar w:fldCharType="separate"/>
          </w:r>
          <w:r>
            <w:rPr>
              <w:rFonts w:hint="eastAsia" w:ascii="宋体" w:hAnsi="宋体" w:cs="Times New Roman"/>
              <w:szCs w:val="30"/>
              <w:lang w:val="en-US" w:eastAsia="zh-CN"/>
            </w:rPr>
            <w:t>四、 服务能力提升情况</w:t>
          </w:r>
          <w:r>
            <w:tab/>
          </w:r>
          <w:r>
            <w:fldChar w:fldCharType="begin"/>
          </w:r>
          <w:r>
            <w:instrText xml:space="preserve"> PAGEREF _Toc21928 \h </w:instrText>
          </w:r>
          <w:r>
            <w:fldChar w:fldCharType="separate"/>
          </w:r>
          <w:r>
            <w:t>6</w:t>
          </w:r>
          <w:r>
            <w:fldChar w:fldCharType="end"/>
          </w:r>
          <w:r>
            <w:rPr>
              <w:szCs w:val="24"/>
            </w:rPr>
            <w:fldChar w:fldCharType="end"/>
          </w:r>
        </w:p>
        <w:p w14:paraId="1DD234A6">
          <w:pPr>
            <w:pStyle w:val="16"/>
            <w:tabs>
              <w:tab w:val="right" w:leader="dot" w:pos="8336"/>
            </w:tabs>
          </w:pPr>
          <w:r>
            <w:rPr>
              <w:szCs w:val="24"/>
            </w:rPr>
            <w:fldChar w:fldCharType="begin"/>
          </w:r>
          <w:r>
            <w:rPr>
              <w:szCs w:val="24"/>
            </w:rPr>
            <w:instrText xml:space="preserve"> HYPERLINK \l _Toc22040 </w:instrText>
          </w:r>
          <w:r>
            <w:rPr>
              <w:szCs w:val="24"/>
            </w:rPr>
            <w:fldChar w:fldCharType="separate"/>
          </w:r>
          <w:r>
            <w:rPr>
              <w:rFonts w:hint="eastAsia" w:ascii="宋体" w:hAnsi="宋体" w:cs="Times New Roman"/>
              <w:szCs w:val="30"/>
              <w:lang w:val="en-US" w:eastAsia="zh-CN"/>
            </w:rPr>
            <w:t>五、 总结与改进</w:t>
          </w:r>
          <w:r>
            <w:tab/>
          </w:r>
          <w:r>
            <w:fldChar w:fldCharType="begin"/>
          </w:r>
          <w:r>
            <w:instrText xml:space="preserve"> PAGEREF _Toc22040 \h </w:instrText>
          </w:r>
          <w:r>
            <w:fldChar w:fldCharType="separate"/>
          </w:r>
          <w:r>
            <w:t>7</w:t>
          </w:r>
          <w:r>
            <w:fldChar w:fldCharType="end"/>
          </w:r>
          <w:r>
            <w:rPr>
              <w:szCs w:val="24"/>
            </w:rPr>
            <w:fldChar w:fldCharType="end"/>
          </w:r>
        </w:p>
        <w:p w14:paraId="1CE3F7A6">
          <w:pPr>
            <w:spacing w:line="219" w:lineRule="auto"/>
            <w:rPr>
              <w:rFonts w:ascii="Arial" w:hAnsi="Arial" w:eastAsia="宋体" w:cs="Arial"/>
              <w:snapToGrid w:val="0"/>
              <w:color w:val="000000"/>
              <w:kern w:val="0"/>
              <w:sz w:val="21"/>
              <w:szCs w:val="24"/>
              <w:lang w:val="en-US" w:eastAsia="en-US" w:bidi="ar-SA"/>
            </w:rPr>
          </w:pPr>
          <w:r>
            <w:rPr>
              <w:szCs w:val="24"/>
            </w:rPr>
            <w:fldChar w:fldCharType="end"/>
          </w:r>
        </w:p>
      </w:sdtContent>
    </w:sdt>
    <w:p w14:paraId="46E88807">
      <w:pPr>
        <w:spacing w:line="219" w:lineRule="auto"/>
        <w:rPr>
          <w:rFonts w:ascii="Arial" w:hAnsi="Arial" w:eastAsia="宋体" w:cs="Arial"/>
          <w:snapToGrid w:val="0"/>
          <w:color w:val="000000"/>
          <w:kern w:val="0"/>
          <w:sz w:val="21"/>
          <w:szCs w:val="24"/>
          <w:lang w:val="en-US" w:eastAsia="en-US" w:bidi="ar-SA"/>
        </w:rPr>
        <w:sectPr>
          <w:pgSz w:w="11906" w:h="16839"/>
          <w:pgMar w:top="1122" w:right="1785" w:bottom="0" w:left="1785" w:header="597" w:footer="0" w:gutter="0"/>
          <w:cols w:space="720" w:num="1"/>
        </w:sectPr>
      </w:pPr>
    </w:p>
    <w:p w14:paraId="6AC9C123">
      <w:pPr>
        <w:spacing w:before="79" w:line="360" w:lineRule="auto"/>
        <w:ind w:left="22" w:right="80" w:firstLine="483"/>
        <w:rPr>
          <w:rFonts w:ascii="宋体" w:hAnsi="宋体" w:eastAsia="宋体" w:cs="宋体"/>
          <w:sz w:val="24"/>
          <w:szCs w:val="24"/>
        </w:rPr>
      </w:pPr>
      <w:r>
        <w:rPr>
          <w:rFonts w:ascii="宋体" w:hAnsi="宋体" w:eastAsia="宋体" w:cs="宋体"/>
          <w:spacing w:val="-3"/>
          <w:sz w:val="24"/>
          <w:szCs w:val="24"/>
        </w:rPr>
        <w:t>为了将运维业务更加专业化，增强公司运维业务的竞争力</w:t>
      </w:r>
      <w:r>
        <w:rPr>
          <w:rFonts w:ascii="宋体" w:hAnsi="宋体" w:eastAsia="宋体" w:cs="宋体"/>
          <w:spacing w:val="-4"/>
          <w:sz w:val="24"/>
          <w:szCs w:val="24"/>
        </w:rPr>
        <w:t>，加强运维管理过</w:t>
      </w:r>
      <w:r>
        <w:rPr>
          <w:rFonts w:ascii="宋体" w:hAnsi="宋体" w:eastAsia="宋体" w:cs="宋体"/>
          <w:spacing w:val="-1"/>
          <w:sz w:val="24"/>
          <w:szCs w:val="24"/>
        </w:rPr>
        <w:t>程的规范化，建立以提升运维服务力为导向的运维服务能力管理体系。2022</w:t>
      </w:r>
      <w:r>
        <w:rPr>
          <w:rFonts w:ascii="宋体" w:hAnsi="宋体" w:eastAsia="宋体" w:cs="宋体"/>
          <w:spacing w:val="-34"/>
          <w:sz w:val="24"/>
          <w:szCs w:val="24"/>
        </w:rPr>
        <w:t xml:space="preserve"> </w:t>
      </w:r>
      <w:r>
        <w:rPr>
          <w:rFonts w:ascii="宋体" w:hAnsi="宋体" w:eastAsia="宋体" w:cs="宋体"/>
          <w:spacing w:val="-1"/>
          <w:sz w:val="24"/>
          <w:szCs w:val="24"/>
        </w:rPr>
        <w:t>年</w:t>
      </w:r>
      <w:r>
        <w:rPr>
          <w:rFonts w:ascii="宋体" w:hAnsi="宋体" w:eastAsia="宋体" w:cs="宋体"/>
          <w:sz w:val="24"/>
          <w:szCs w:val="24"/>
        </w:rPr>
        <w:t>公司根据</w:t>
      </w:r>
      <w:r>
        <w:rPr>
          <w:rFonts w:ascii="宋体" w:hAnsi="宋体" w:eastAsia="宋体" w:cs="宋体"/>
          <w:spacing w:val="-37"/>
          <w:sz w:val="24"/>
          <w:szCs w:val="24"/>
        </w:rPr>
        <w:t xml:space="preserve"> </w:t>
      </w:r>
      <w:r>
        <w:rPr>
          <w:rFonts w:ascii="宋体" w:hAnsi="宋体" w:eastAsia="宋体" w:cs="宋体"/>
          <w:sz w:val="24"/>
          <w:szCs w:val="24"/>
        </w:rPr>
        <w:t>ITSS</w:t>
      </w:r>
      <w:r>
        <w:rPr>
          <w:rFonts w:ascii="宋体" w:hAnsi="宋体" w:eastAsia="宋体" w:cs="宋体"/>
          <w:spacing w:val="-51"/>
          <w:sz w:val="24"/>
          <w:szCs w:val="24"/>
        </w:rPr>
        <w:t xml:space="preserve"> </w:t>
      </w:r>
      <w:r>
        <w:rPr>
          <w:rFonts w:ascii="宋体" w:hAnsi="宋体" w:eastAsia="宋体" w:cs="宋体"/>
          <w:sz w:val="24"/>
          <w:szCs w:val="24"/>
        </w:rPr>
        <w:t>体系的要求，结合业务发展</w:t>
      </w:r>
      <w:r>
        <w:rPr>
          <w:rFonts w:ascii="宋体" w:hAnsi="宋体" w:eastAsia="宋体" w:cs="宋体"/>
          <w:spacing w:val="-1"/>
          <w:sz w:val="24"/>
          <w:szCs w:val="24"/>
        </w:rPr>
        <w:t>需要，开始从人员管理、资源管理、</w:t>
      </w:r>
      <w:r>
        <w:rPr>
          <w:rFonts w:ascii="宋体" w:hAnsi="宋体" w:eastAsia="宋体" w:cs="宋体"/>
          <w:spacing w:val="-3"/>
          <w:sz w:val="24"/>
          <w:szCs w:val="24"/>
        </w:rPr>
        <w:t>技术管理、服务过程管理等方案梳理、改进和完善原有的运维服务体系，形成了人力、过程、资源、技术质量等方面相互结合、相互促进、协调一致的运维服务能力管理体系。为了加快制度的拟定和体系的建设，体系初具雏形，体系文件于</w:t>
      </w:r>
      <w:r>
        <w:rPr>
          <w:rFonts w:ascii="宋体" w:hAnsi="宋体" w:eastAsia="宋体" w:cs="宋体"/>
          <w:spacing w:val="-4"/>
          <w:sz w:val="24"/>
          <w:szCs w:val="24"/>
        </w:rPr>
        <w:t>2022</w:t>
      </w:r>
      <w:r>
        <w:rPr>
          <w:rFonts w:ascii="宋体" w:hAnsi="宋体" w:eastAsia="宋体" w:cs="宋体"/>
          <w:spacing w:val="-48"/>
          <w:sz w:val="24"/>
          <w:szCs w:val="24"/>
        </w:rPr>
        <w:t xml:space="preserve"> </w:t>
      </w:r>
      <w:r>
        <w:rPr>
          <w:rFonts w:ascii="宋体" w:hAnsi="宋体" w:eastAsia="宋体" w:cs="宋体"/>
          <w:spacing w:val="-4"/>
          <w:sz w:val="24"/>
          <w:szCs w:val="24"/>
        </w:rPr>
        <w:t>年</w:t>
      </w:r>
      <w:r>
        <w:rPr>
          <w:rFonts w:ascii="宋体" w:hAnsi="宋体" w:eastAsia="宋体" w:cs="宋体"/>
          <w:spacing w:val="-33"/>
          <w:sz w:val="24"/>
          <w:szCs w:val="24"/>
        </w:rPr>
        <w:t xml:space="preserve"> </w:t>
      </w:r>
      <w:r>
        <w:rPr>
          <w:rFonts w:ascii="宋体" w:hAnsi="宋体" w:eastAsia="宋体" w:cs="宋体"/>
          <w:spacing w:val="-4"/>
          <w:sz w:val="24"/>
          <w:szCs w:val="24"/>
        </w:rPr>
        <w:t>1</w:t>
      </w:r>
      <w:r>
        <w:rPr>
          <w:rFonts w:ascii="宋体" w:hAnsi="宋体" w:eastAsia="宋体" w:cs="宋体"/>
          <w:spacing w:val="-45"/>
          <w:sz w:val="24"/>
          <w:szCs w:val="24"/>
        </w:rPr>
        <w:t xml:space="preserve"> </w:t>
      </w:r>
      <w:r>
        <w:rPr>
          <w:rFonts w:ascii="宋体" w:hAnsi="宋体" w:eastAsia="宋体" w:cs="宋体"/>
          <w:spacing w:val="-4"/>
          <w:sz w:val="24"/>
          <w:szCs w:val="24"/>
        </w:rPr>
        <w:t>月初正式发布试运行。</w:t>
      </w:r>
    </w:p>
    <w:p w14:paraId="0C76BEB5">
      <w:pPr>
        <w:spacing w:before="156" w:beforeLines="50" w:after="156" w:afterLines="50" w:line="360" w:lineRule="auto"/>
        <w:ind w:firstLine="480" w:firstLineChars="200"/>
        <w:rPr>
          <w:rFonts w:cs="Times New Roman"/>
          <w:sz w:val="24"/>
        </w:rPr>
      </w:pPr>
      <w:r>
        <w:rPr>
          <w:rFonts w:hint="eastAsia" w:cs="Times New Roman"/>
          <w:sz w:val="24"/>
          <w:lang w:val="en-US" w:eastAsia="zh-CN"/>
        </w:rPr>
        <w:t>公司于2022年正式通过ITSS三级符合性评估。通过近三年的不断发展发展，</w:t>
      </w:r>
      <w:r>
        <w:rPr>
          <w:rFonts w:cs="Times New Roman"/>
          <w:sz w:val="24"/>
        </w:rPr>
        <w:t>近三年实施效果可通过量化部分的关键指标达成情况以及公司自我总结评价反映，内容如下：</w:t>
      </w:r>
    </w:p>
    <w:p w14:paraId="31EEF95B">
      <w:pPr>
        <w:pStyle w:val="2"/>
        <w:numPr>
          <w:ilvl w:val="0"/>
          <w:numId w:val="2"/>
        </w:numPr>
        <w:ind w:left="852" w:hanging="525"/>
        <w:rPr>
          <w:rFonts w:ascii="宋体" w:hAnsi="宋体"/>
          <w:sz w:val="30"/>
          <w:szCs w:val="30"/>
        </w:rPr>
      </w:pPr>
      <w:bookmarkStart w:id="0" w:name="_Toc20486"/>
      <w:bookmarkStart w:id="1" w:name="_Toc20915"/>
      <w:r>
        <w:rPr>
          <w:rFonts w:hint="eastAsia" w:ascii="宋体" w:hAnsi="宋体" w:cs="Times New Roman"/>
          <w:sz w:val="30"/>
          <w:szCs w:val="30"/>
        </w:rPr>
        <w:t>近三年K</w:t>
      </w:r>
      <w:r>
        <w:rPr>
          <w:rFonts w:ascii="宋体" w:hAnsi="宋体" w:cs="Times New Roman"/>
          <w:sz w:val="30"/>
          <w:szCs w:val="30"/>
        </w:rPr>
        <w:t>PI</w:t>
      </w:r>
      <w:r>
        <w:rPr>
          <w:rFonts w:hint="eastAsia" w:ascii="宋体" w:hAnsi="宋体" w:cs="Times New Roman"/>
          <w:sz w:val="30"/>
          <w:szCs w:val="30"/>
        </w:rPr>
        <w:t>数据对比</w:t>
      </w:r>
      <w:bookmarkEnd w:id="0"/>
      <w:bookmarkEnd w:id="1"/>
    </w:p>
    <w:p w14:paraId="54252153">
      <w:pPr>
        <w:pStyle w:val="2"/>
        <w:numPr>
          <w:ilvl w:val="0"/>
          <w:numId w:val="0"/>
        </w:numPr>
        <w:ind w:left="354" w:leftChars="0" w:firstLine="1200" w:firstLineChars="500"/>
        <w:jc w:val="both"/>
        <w:rPr>
          <w:rFonts w:ascii="宋体" w:hAnsi="宋体" w:eastAsia="宋体" w:cs="Times New Roman"/>
          <w:b w:val="0"/>
          <w:bCs w:val="0"/>
          <w:sz w:val="24"/>
          <w:szCs w:val="22"/>
        </w:rPr>
      </w:pPr>
      <w:bookmarkStart w:id="2" w:name="_Toc111842725"/>
      <w:bookmarkStart w:id="3" w:name="_Toc5740"/>
      <w:bookmarkStart w:id="4" w:name="_Toc28806"/>
      <w:r>
        <w:rPr>
          <w:rFonts w:ascii="宋体" w:hAnsi="宋体" w:eastAsia="宋体" w:cs="Times New Roman"/>
          <w:b w:val="0"/>
          <w:bCs w:val="0"/>
          <w:sz w:val="24"/>
          <w:szCs w:val="22"/>
        </w:rPr>
        <w:t>20</w:t>
      </w:r>
      <w:r>
        <w:rPr>
          <w:rFonts w:hint="eastAsia" w:ascii="宋体" w:hAnsi="宋体" w:cs="Times New Roman"/>
          <w:b w:val="0"/>
          <w:bCs w:val="0"/>
          <w:sz w:val="24"/>
          <w:szCs w:val="22"/>
          <w:lang w:val="en-US" w:eastAsia="zh-CN"/>
        </w:rPr>
        <w:t>22</w:t>
      </w:r>
      <w:r>
        <w:rPr>
          <w:rFonts w:ascii="宋体" w:hAnsi="宋体" w:eastAsia="宋体" w:cs="Times New Roman"/>
          <w:b w:val="0"/>
          <w:bCs w:val="0"/>
          <w:sz w:val="24"/>
          <w:szCs w:val="22"/>
        </w:rPr>
        <w:t>-202</w:t>
      </w:r>
      <w:r>
        <w:rPr>
          <w:rFonts w:hint="eastAsia" w:ascii="宋体" w:hAnsi="宋体" w:cs="Times New Roman"/>
          <w:b w:val="0"/>
          <w:bCs w:val="0"/>
          <w:sz w:val="24"/>
          <w:szCs w:val="22"/>
          <w:lang w:val="en-US" w:eastAsia="zh-CN"/>
        </w:rPr>
        <w:t>5</w:t>
      </w:r>
      <w:r>
        <w:rPr>
          <w:rFonts w:ascii="宋体" w:hAnsi="宋体" w:eastAsia="宋体" w:cs="Times New Roman"/>
          <w:b w:val="0"/>
          <w:bCs w:val="0"/>
          <w:sz w:val="24"/>
          <w:szCs w:val="22"/>
        </w:rPr>
        <w:t>年</w:t>
      </w:r>
      <w:r>
        <w:rPr>
          <w:rFonts w:hint="eastAsia" w:ascii="宋体" w:hAnsi="宋体" w:cs="Times New Roman"/>
          <w:b w:val="0"/>
          <w:bCs w:val="0"/>
          <w:sz w:val="24"/>
          <w:szCs w:val="22"/>
          <w:lang w:eastAsia="zh-CN"/>
        </w:rPr>
        <w:t>（</w:t>
      </w:r>
      <w:r>
        <w:rPr>
          <w:rFonts w:hint="eastAsia" w:ascii="宋体" w:hAnsi="宋体" w:cs="Times New Roman"/>
          <w:b w:val="0"/>
          <w:bCs w:val="0"/>
          <w:sz w:val="24"/>
          <w:szCs w:val="22"/>
          <w:lang w:val="en-US" w:eastAsia="zh-CN"/>
        </w:rPr>
        <w:t>2025年截至10月</w:t>
      </w:r>
      <w:r>
        <w:rPr>
          <w:rFonts w:hint="eastAsia" w:ascii="宋体" w:hAnsi="宋体" w:cs="Times New Roman"/>
          <w:b w:val="0"/>
          <w:bCs w:val="0"/>
          <w:sz w:val="24"/>
          <w:szCs w:val="22"/>
          <w:lang w:eastAsia="zh-CN"/>
        </w:rPr>
        <w:t>）</w:t>
      </w:r>
      <w:r>
        <w:rPr>
          <w:rFonts w:ascii="宋体" w:hAnsi="宋体" w:eastAsia="宋体" w:cs="Times New Roman"/>
          <w:b w:val="0"/>
          <w:bCs w:val="0"/>
          <w:sz w:val="24"/>
          <w:szCs w:val="22"/>
        </w:rPr>
        <w:t>服务管理目标度量计划完成情况</w:t>
      </w:r>
      <w:bookmarkEnd w:id="2"/>
      <w:bookmarkEnd w:id="3"/>
      <w:bookmarkEnd w:id="4"/>
    </w:p>
    <w:tbl>
      <w:tblPr>
        <w:tblStyle w:val="24"/>
        <w:tblW w:w="990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40"/>
        <w:gridCol w:w="839"/>
        <w:gridCol w:w="2158"/>
        <w:gridCol w:w="870"/>
        <w:gridCol w:w="1079"/>
        <w:gridCol w:w="1079"/>
        <w:gridCol w:w="1079"/>
        <w:gridCol w:w="1079"/>
        <w:gridCol w:w="1079"/>
      </w:tblGrid>
      <w:tr w14:paraId="3A97F5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shd w:val="clear" w:color="auto" w:fill="D9D9D9"/>
            <w:vAlign w:val="top"/>
          </w:tcPr>
          <w:p w14:paraId="72DD05C2">
            <w:pPr>
              <w:pStyle w:val="25"/>
              <w:spacing w:before="178" w:line="221" w:lineRule="auto"/>
              <w:ind w:left="106"/>
            </w:pPr>
            <w:r>
              <w:rPr>
                <w:b/>
                <w:bCs/>
                <w:spacing w:val="-7"/>
              </w:rPr>
              <w:t>名称</w:t>
            </w:r>
          </w:p>
        </w:tc>
        <w:tc>
          <w:tcPr>
            <w:tcW w:w="839" w:type="dxa"/>
            <w:shd w:val="clear" w:color="auto" w:fill="D9D9D9"/>
            <w:vAlign w:val="top"/>
          </w:tcPr>
          <w:p w14:paraId="4D6C2183">
            <w:pPr>
              <w:pStyle w:val="25"/>
              <w:spacing w:before="177" w:line="221" w:lineRule="auto"/>
              <w:ind w:left="199"/>
            </w:pPr>
            <w:r>
              <w:rPr>
                <w:b/>
                <w:bCs/>
                <w:spacing w:val="-5"/>
              </w:rPr>
              <w:t>序号</w:t>
            </w:r>
          </w:p>
        </w:tc>
        <w:tc>
          <w:tcPr>
            <w:tcW w:w="2158" w:type="dxa"/>
            <w:shd w:val="clear" w:color="auto" w:fill="D9D9D9"/>
            <w:vAlign w:val="top"/>
          </w:tcPr>
          <w:p w14:paraId="48412B87">
            <w:pPr>
              <w:pStyle w:val="25"/>
              <w:spacing w:before="177" w:line="241" w:lineRule="auto"/>
              <w:ind w:left="911"/>
            </w:pPr>
            <w:r>
              <w:rPr>
                <w:b/>
                <w:bCs/>
                <w:spacing w:val="-2"/>
              </w:rPr>
              <w:t>KPI</w:t>
            </w:r>
          </w:p>
        </w:tc>
        <w:tc>
          <w:tcPr>
            <w:tcW w:w="870" w:type="dxa"/>
            <w:shd w:val="clear" w:color="auto" w:fill="D9D9D9"/>
            <w:vAlign w:val="top"/>
          </w:tcPr>
          <w:p w14:paraId="3C453691">
            <w:pPr>
              <w:pStyle w:val="25"/>
              <w:spacing w:before="178" w:line="219" w:lineRule="auto"/>
              <w:ind w:left="149"/>
            </w:pPr>
            <w:r>
              <w:rPr>
                <w:b/>
                <w:bCs/>
                <w:spacing w:val="-18"/>
              </w:rPr>
              <w:t>目标值</w:t>
            </w:r>
          </w:p>
        </w:tc>
        <w:tc>
          <w:tcPr>
            <w:tcW w:w="1079" w:type="dxa"/>
            <w:shd w:val="clear" w:color="auto" w:fill="D9D9D9"/>
            <w:vAlign w:val="top"/>
          </w:tcPr>
          <w:p w14:paraId="63637F1E">
            <w:pPr>
              <w:pStyle w:val="25"/>
              <w:spacing w:before="178" w:line="219" w:lineRule="auto"/>
              <w:ind w:left="101"/>
            </w:pPr>
            <w:r>
              <w:rPr>
                <w:b/>
                <w:bCs/>
                <w:spacing w:val="-3"/>
              </w:rPr>
              <w:t>考核频度</w:t>
            </w:r>
          </w:p>
        </w:tc>
        <w:tc>
          <w:tcPr>
            <w:tcW w:w="1079" w:type="dxa"/>
            <w:shd w:val="clear" w:color="auto" w:fill="D9D9D9"/>
            <w:vAlign w:val="top"/>
          </w:tcPr>
          <w:p w14:paraId="78107BF5">
            <w:pPr>
              <w:pStyle w:val="25"/>
              <w:spacing w:before="178" w:line="219" w:lineRule="auto"/>
              <w:ind w:left="101"/>
              <w:rPr>
                <w:rFonts w:hint="default" w:eastAsia="宋体"/>
                <w:b/>
                <w:bCs/>
                <w:spacing w:val="-3"/>
                <w:lang w:val="en-US" w:eastAsia="zh-CN"/>
              </w:rPr>
            </w:pPr>
            <w:r>
              <w:rPr>
                <w:rFonts w:hint="eastAsia"/>
                <w:b/>
                <w:bCs/>
                <w:spacing w:val="-3"/>
                <w:lang w:val="en-US" w:eastAsia="zh-CN"/>
              </w:rPr>
              <w:t>2022年</w:t>
            </w:r>
          </w:p>
        </w:tc>
        <w:tc>
          <w:tcPr>
            <w:tcW w:w="1079" w:type="dxa"/>
            <w:shd w:val="clear" w:color="auto" w:fill="D9D9D9"/>
            <w:vAlign w:val="top"/>
          </w:tcPr>
          <w:p w14:paraId="2E469E92">
            <w:pPr>
              <w:pStyle w:val="25"/>
              <w:spacing w:before="178" w:line="219" w:lineRule="auto"/>
              <w:ind w:left="101"/>
              <w:rPr>
                <w:rFonts w:hint="default" w:eastAsia="宋体"/>
                <w:b/>
                <w:bCs/>
                <w:spacing w:val="-3"/>
                <w:lang w:val="en-US" w:eastAsia="zh-CN"/>
              </w:rPr>
            </w:pPr>
            <w:r>
              <w:rPr>
                <w:rFonts w:hint="eastAsia"/>
                <w:b/>
                <w:bCs/>
                <w:spacing w:val="-3"/>
                <w:lang w:val="en-US" w:eastAsia="zh-CN"/>
              </w:rPr>
              <w:t>2023年</w:t>
            </w:r>
          </w:p>
        </w:tc>
        <w:tc>
          <w:tcPr>
            <w:tcW w:w="1079" w:type="dxa"/>
            <w:shd w:val="clear" w:color="auto" w:fill="D9D9D9"/>
            <w:vAlign w:val="top"/>
          </w:tcPr>
          <w:p w14:paraId="14F0FE54">
            <w:pPr>
              <w:pStyle w:val="25"/>
              <w:spacing w:before="178" w:line="219" w:lineRule="auto"/>
              <w:ind w:left="101"/>
              <w:rPr>
                <w:rFonts w:hint="default" w:eastAsia="宋体"/>
                <w:b/>
                <w:bCs/>
                <w:spacing w:val="-3"/>
                <w:lang w:val="en-US" w:eastAsia="zh-CN"/>
              </w:rPr>
            </w:pPr>
            <w:r>
              <w:rPr>
                <w:rFonts w:hint="eastAsia"/>
                <w:b/>
                <w:bCs/>
                <w:spacing w:val="-3"/>
                <w:lang w:val="en-US" w:eastAsia="zh-CN"/>
              </w:rPr>
              <w:t>2024年</w:t>
            </w:r>
          </w:p>
        </w:tc>
        <w:tc>
          <w:tcPr>
            <w:tcW w:w="1079" w:type="dxa"/>
            <w:shd w:val="clear" w:color="auto" w:fill="D9D9D9"/>
            <w:vAlign w:val="top"/>
          </w:tcPr>
          <w:p w14:paraId="12760FD5">
            <w:pPr>
              <w:pStyle w:val="25"/>
              <w:spacing w:before="178" w:line="219" w:lineRule="auto"/>
              <w:ind w:left="101"/>
              <w:rPr>
                <w:rFonts w:hint="default"/>
                <w:b/>
                <w:bCs/>
                <w:spacing w:val="-3"/>
                <w:lang w:val="en-US" w:eastAsia="zh-CN"/>
              </w:rPr>
            </w:pPr>
            <w:r>
              <w:rPr>
                <w:rFonts w:hint="eastAsia"/>
                <w:b/>
                <w:bCs/>
                <w:spacing w:val="-3"/>
                <w:lang w:val="en-US" w:eastAsia="zh-CN"/>
              </w:rPr>
              <w:t>2025年</w:t>
            </w:r>
          </w:p>
        </w:tc>
      </w:tr>
      <w:tr w14:paraId="39373B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Merge w:val="restart"/>
            <w:tcBorders>
              <w:bottom w:val="nil"/>
            </w:tcBorders>
            <w:vAlign w:val="top"/>
          </w:tcPr>
          <w:p w14:paraId="5C949530">
            <w:pPr>
              <w:spacing w:line="392" w:lineRule="auto"/>
              <w:rPr>
                <w:rFonts w:ascii="Arial"/>
                <w:sz w:val="21"/>
              </w:rPr>
            </w:pPr>
          </w:p>
          <w:p w14:paraId="5BFFF12D">
            <w:pPr>
              <w:pStyle w:val="25"/>
              <w:spacing w:before="72" w:line="220" w:lineRule="auto"/>
              <w:ind w:left="107"/>
            </w:pPr>
            <w:r>
              <w:rPr>
                <w:spacing w:val="-5"/>
              </w:rPr>
              <w:t>质量</w:t>
            </w:r>
          </w:p>
        </w:tc>
        <w:tc>
          <w:tcPr>
            <w:tcW w:w="839" w:type="dxa"/>
            <w:vAlign w:val="top"/>
          </w:tcPr>
          <w:p w14:paraId="4E96EF53">
            <w:pPr>
              <w:pStyle w:val="25"/>
              <w:spacing w:before="178" w:line="239" w:lineRule="auto"/>
              <w:ind w:left="274"/>
            </w:pPr>
            <w:r>
              <w:rPr>
                <w:spacing w:val="-9"/>
              </w:rPr>
              <w:t>1.1</w:t>
            </w:r>
          </w:p>
        </w:tc>
        <w:tc>
          <w:tcPr>
            <w:tcW w:w="2158" w:type="dxa"/>
            <w:vAlign w:val="top"/>
          </w:tcPr>
          <w:p w14:paraId="59EDEFA4">
            <w:pPr>
              <w:pStyle w:val="25"/>
              <w:spacing w:before="179" w:line="219" w:lineRule="auto"/>
              <w:ind w:left="202"/>
            </w:pPr>
            <w:r>
              <w:rPr>
                <w:spacing w:val="-1"/>
              </w:rPr>
              <w:t>组织级客户满意度</w:t>
            </w:r>
          </w:p>
        </w:tc>
        <w:tc>
          <w:tcPr>
            <w:tcW w:w="870" w:type="dxa"/>
            <w:vAlign w:val="top"/>
          </w:tcPr>
          <w:p w14:paraId="059F5C81">
            <w:pPr>
              <w:pStyle w:val="25"/>
              <w:spacing w:before="178" w:line="220" w:lineRule="auto"/>
              <w:ind w:left="132"/>
            </w:pPr>
            <w:r>
              <w:rPr>
                <w:spacing w:val="-8"/>
              </w:rPr>
              <w:t>≥95分</w:t>
            </w:r>
          </w:p>
        </w:tc>
        <w:tc>
          <w:tcPr>
            <w:tcW w:w="1079" w:type="dxa"/>
            <w:vAlign w:val="top"/>
          </w:tcPr>
          <w:p w14:paraId="30B1E03E">
            <w:pPr>
              <w:pStyle w:val="25"/>
              <w:spacing w:before="179" w:line="219" w:lineRule="auto"/>
              <w:ind w:left="328"/>
            </w:pPr>
            <w:r>
              <w:rPr>
                <w:spacing w:val="-5"/>
              </w:rPr>
              <w:t>年度</w:t>
            </w:r>
          </w:p>
        </w:tc>
        <w:tc>
          <w:tcPr>
            <w:tcW w:w="1079" w:type="dxa"/>
            <w:vAlign w:val="top"/>
          </w:tcPr>
          <w:p w14:paraId="697FCEE9">
            <w:pPr>
              <w:pStyle w:val="25"/>
              <w:spacing w:before="179" w:line="219" w:lineRule="auto"/>
              <w:ind w:left="328"/>
              <w:rPr>
                <w:rFonts w:hint="default" w:eastAsia="宋体"/>
                <w:spacing w:val="-5"/>
                <w:lang w:val="en-US" w:eastAsia="zh-CN"/>
              </w:rPr>
            </w:pPr>
            <w:r>
              <w:rPr>
                <w:rFonts w:hint="eastAsia"/>
                <w:spacing w:val="-5"/>
                <w:lang w:val="en-US" w:eastAsia="zh-CN"/>
              </w:rPr>
              <w:t>95</w:t>
            </w:r>
          </w:p>
        </w:tc>
        <w:tc>
          <w:tcPr>
            <w:tcW w:w="1079" w:type="dxa"/>
            <w:vAlign w:val="top"/>
          </w:tcPr>
          <w:p w14:paraId="2997BF39">
            <w:pPr>
              <w:pStyle w:val="25"/>
              <w:spacing w:before="179" w:line="219" w:lineRule="auto"/>
              <w:ind w:left="328"/>
              <w:rPr>
                <w:rFonts w:hint="default" w:eastAsia="宋体"/>
                <w:spacing w:val="-5"/>
                <w:lang w:val="en-US" w:eastAsia="zh-CN"/>
              </w:rPr>
            </w:pPr>
            <w:r>
              <w:rPr>
                <w:rFonts w:hint="eastAsia"/>
                <w:spacing w:val="-5"/>
                <w:lang w:val="en-US" w:eastAsia="zh-CN"/>
              </w:rPr>
              <w:t>95.4</w:t>
            </w:r>
          </w:p>
        </w:tc>
        <w:tc>
          <w:tcPr>
            <w:tcW w:w="1079" w:type="dxa"/>
            <w:vAlign w:val="top"/>
          </w:tcPr>
          <w:p w14:paraId="1EAA015B">
            <w:pPr>
              <w:pStyle w:val="25"/>
              <w:spacing w:before="179" w:line="219" w:lineRule="auto"/>
              <w:ind w:left="328"/>
              <w:rPr>
                <w:rFonts w:hint="default" w:eastAsia="宋体"/>
                <w:spacing w:val="-5"/>
                <w:lang w:val="en-US" w:eastAsia="zh-CN"/>
              </w:rPr>
            </w:pPr>
            <w:r>
              <w:rPr>
                <w:rFonts w:hint="eastAsia"/>
                <w:spacing w:val="-5"/>
                <w:lang w:val="en-US" w:eastAsia="zh-CN"/>
              </w:rPr>
              <w:t>95.8</w:t>
            </w:r>
          </w:p>
        </w:tc>
        <w:tc>
          <w:tcPr>
            <w:tcW w:w="1079" w:type="dxa"/>
            <w:vAlign w:val="top"/>
          </w:tcPr>
          <w:p w14:paraId="760F9323">
            <w:pPr>
              <w:pStyle w:val="25"/>
              <w:spacing w:before="179" w:line="219" w:lineRule="auto"/>
              <w:ind w:left="328"/>
              <w:rPr>
                <w:rFonts w:hint="default" w:eastAsia="宋体"/>
                <w:spacing w:val="-5"/>
                <w:lang w:val="en-US" w:eastAsia="zh-CN"/>
              </w:rPr>
            </w:pPr>
            <w:r>
              <w:rPr>
                <w:rFonts w:hint="eastAsia"/>
                <w:spacing w:val="-5"/>
                <w:lang w:val="en-US" w:eastAsia="zh-CN"/>
              </w:rPr>
              <w:t>96.2</w:t>
            </w:r>
          </w:p>
        </w:tc>
      </w:tr>
      <w:tr w14:paraId="5ED684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Merge w:val="continue"/>
            <w:tcBorders>
              <w:top w:val="nil"/>
            </w:tcBorders>
            <w:vAlign w:val="top"/>
          </w:tcPr>
          <w:p w14:paraId="0BF4C2B3">
            <w:pPr>
              <w:rPr>
                <w:rFonts w:ascii="Arial"/>
                <w:sz w:val="21"/>
              </w:rPr>
            </w:pPr>
          </w:p>
        </w:tc>
        <w:tc>
          <w:tcPr>
            <w:tcW w:w="839" w:type="dxa"/>
            <w:vAlign w:val="top"/>
          </w:tcPr>
          <w:p w14:paraId="70F2C539">
            <w:pPr>
              <w:pStyle w:val="25"/>
              <w:spacing w:before="179" w:line="239" w:lineRule="auto"/>
              <w:ind w:left="274"/>
            </w:pPr>
            <w:r>
              <w:rPr>
                <w:spacing w:val="-9"/>
              </w:rPr>
              <w:t>1.2</w:t>
            </w:r>
          </w:p>
        </w:tc>
        <w:tc>
          <w:tcPr>
            <w:tcW w:w="2158" w:type="dxa"/>
            <w:vAlign w:val="top"/>
          </w:tcPr>
          <w:p w14:paraId="386ADC40">
            <w:pPr>
              <w:pStyle w:val="25"/>
              <w:spacing w:before="180" w:line="219" w:lineRule="auto"/>
              <w:ind w:left="422"/>
            </w:pPr>
            <w:r>
              <w:rPr>
                <w:spacing w:val="-1"/>
              </w:rPr>
              <w:t>客户投诉次数</w:t>
            </w:r>
          </w:p>
        </w:tc>
        <w:tc>
          <w:tcPr>
            <w:tcW w:w="870" w:type="dxa"/>
            <w:vAlign w:val="top"/>
          </w:tcPr>
          <w:p w14:paraId="1DD364CE">
            <w:pPr>
              <w:pStyle w:val="25"/>
              <w:spacing w:before="180" w:line="219" w:lineRule="auto"/>
              <w:ind w:left="180"/>
            </w:pPr>
            <w:r>
              <w:rPr>
                <w:spacing w:val="-8"/>
              </w:rPr>
              <w:t>≤1次</w:t>
            </w:r>
          </w:p>
        </w:tc>
        <w:tc>
          <w:tcPr>
            <w:tcW w:w="1079" w:type="dxa"/>
            <w:vAlign w:val="top"/>
          </w:tcPr>
          <w:p w14:paraId="6568B030">
            <w:pPr>
              <w:pStyle w:val="25"/>
              <w:spacing w:before="180" w:line="219" w:lineRule="auto"/>
              <w:ind w:left="328"/>
            </w:pPr>
            <w:r>
              <w:rPr>
                <w:spacing w:val="-5"/>
              </w:rPr>
              <w:t>年度</w:t>
            </w:r>
          </w:p>
        </w:tc>
        <w:tc>
          <w:tcPr>
            <w:tcW w:w="1079" w:type="dxa"/>
            <w:vAlign w:val="top"/>
          </w:tcPr>
          <w:p w14:paraId="5775E899">
            <w:pPr>
              <w:pStyle w:val="25"/>
              <w:spacing w:before="180" w:line="219" w:lineRule="auto"/>
              <w:ind w:left="328"/>
              <w:rPr>
                <w:spacing w:val="-5"/>
              </w:rPr>
            </w:pPr>
            <w:r>
              <w:rPr>
                <w:rFonts w:hint="eastAsia"/>
                <w:spacing w:val="-5"/>
                <w:lang w:val="en-US" w:eastAsia="zh-CN"/>
              </w:rPr>
              <w:t>1</w:t>
            </w:r>
          </w:p>
        </w:tc>
        <w:tc>
          <w:tcPr>
            <w:tcW w:w="1079" w:type="dxa"/>
            <w:vAlign w:val="top"/>
          </w:tcPr>
          <w:p w14:paraId="078029A0">
            <w:pPr>
              <w:pStyle w:val="25"/>
              <w:spacing w:before="180" w:line="219" w:lineRule="auto"/>
              <w:ind w:left="328"/>
              <w:rPr>
                <w:spacing w:val="-5"/>
              </w:rPr>
            </w:pPr>
            <w:r>
              <w:rPr>
                <w:rFonts w:hint="eastAsia"/>
                <w:spacing w:val="-5"/>
                <w:lang w:val="en-US" w:eastAsia="zh-CN"/>
              </w:rPr>
              <w:t>0</w:t>
            </w:r>
          </w:p>
        </w:tc>
        <w:tc>
          <w:tcPr>
            <w:tcW w:w="1079" w:type="dxa"/>
            <w:vAlign w:val="top"/>
          </w:tcPr>
          <w:p w14:paraId="608AEAD1">
            <w:pPr>
              <w:pStyle w:val="25"/>
              <w:spacing w:before="180" w:line="219" w:lineRule="auto"/>
              <w:ind w:left="328"/>
              <w:rPr>
                <w:spacing w:val="-5"/>
              </w:rPr>
            </w:pPr>
            <w:r>
              <w:rPr>
                <w:rFonts w:hint="eastAsia"/>
                <w:spacing w:val="-5"/>
                <w:lang w:val="en-US" w:eastAsia="zh-CN"/>
              </w:rPr>
              <w:t>0</w:t>
            </w:r>
          </w:p>
        </w:tc>
        <w:tc>
          <w:tcPr>
            <w:tcW w:w="1079" w:type="dxa"/>
            <w:vAlign w:val="top"/>
          </w:tcPr>
          <w:p w14:paraId="27C49818">
            <w:pPr>
              <w:pStyle w:val="25"/>
              <w:spacing w:before="180" w:line="219" w:lineRule="auto"/>
              <w:ind w:left="328"/>
              <w:rPr>
                <w:rFonts w:hint="eastAsia" w:eastAsia="宋体"/>
                <w:spacing w:val="-5"/>
                <w:lang w:val="en-US" w:eastAsia="zh-CN"/>
              </w:rPr>
            </w:pPr>
            <w:r>
              <w:rPr>
                <w:rFonts w:hint="eastAsia"/>
                <w:spacing w:val="-5"/>
                <w:lang w:val="en-US" w:eastAsia="zh-CN"/>
              </w:rPr>
              <w:t>0</w:t>
            </w:r>
          </w:p>
        </w:tc>
      </w:tr>
      <w:tr w14:paraId="58EDC3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Merge w:val="restart"/>
            <w:tcBorders>
              <w:bottom w:val="nil"/>
            </w:tcBorders>
            <w:vAlign w:val="top"/>
          </w:tcPr>
          <w:p w14:paraId="2191D20A">
            <w:pPr>
              <w:spacing w:line="241" w:lineRule="auto"/>
              <w:rPr>
                <w:rFonts w:ascii="Arial"/>
                <w:sz w:val="21"/>
              </w:rPr>
            </w:pPr>
          </w:p>
          <w:p w14:paraId="3D6D6A4A">
            <w:pPr>
              <w:spacing w:line="241" w:lineRule="auto"/>
              <w:rPr>
                <w:rFonts w:ascii="Arial"/>
                <w:sz w:val="21"/>
              </w:rPr>
            </w:pPr>
          </w:p>
          <w:p w14:paraId="5EF2F3C5">
            <w:pPr>
              <w:spacing w:line="241" w:lineRule="auto"/>
              <w:rPr>
                <w:rFonts w:ascii="Arial"/>
                <w:sz w:val="21"/>
              </w:rPr>
            </w:pPr>
          </w:p>
          <w:p w14:paraId="7864E686">
            <w:pPr>
              <w:spacing w:line="241" w:lineRule="auto"/>
              <w:rPr>
                <w:rFonts w:ascii="Arial"/>
                <w:sz w:val="21"/>
              </w:rPr>
            </w:pPr>
          </w:p>
          <w:p w14:paraId="392B5178">
            <w:pPr>
              <w:pStyle w:val="25"/>
              <w:spacing w:before="71" w:line="221" w:lineRule="auto"/>
              <w:ind w:left="108"/>
            </w:pPr>
            <w:r>
              <w:rPr>
                <w:spacing w:val="-5"/>
              </w:rPr>
              <w:t>人员</w:t>
            </w:r>
          </w:p>
        </w:tc>
        <w:tc>
          <w:tcPr>
            <w:tcW w:w="839" w:type="dxa"/>
            <w:vAlign w:val="top"/>
          </w:tcPr>
          <w:p w14:paraId="0236DD1B">
            <w:pPr>
              <w:pStyle w:val="25"/>
              <w:spacing w:before="179" w:line="239" w:lineRule="auto"/>
              <w:ind w:left="261"/>
            </w:pPr>
            <w:r>
              <w:rPr>
                <w:spacing w:val="-4"/>
              </w:rPr>
              <w:t>2.1</w:t>
            </w:r>
          </w:p>
        </w:tc>
        <w:tc>
          <w:tcPr>
            <w:tcW w:w="2158" w:type="dxa"/>
            <w:vAlign w:val="top"/>
          </w:tcPr>
          <w:p w14:paraId="043E0867">
            <w:pPr>
              <w:pStyle w:val="25"/>
              <w:spacing w:before="180" w:line="219" w:lineRule="auto"/>
              <w:ind w:left="90"/>
            </w:pPr>
            <w:r>
              <w:rPr>
                <w:spacing w:val="-1"/>
              </w:rPr>
              <w:t>人员招聘计划达成率</w:t>
            </w:r>
          </w:p>
        </w:tc>
        <w:tc>
          <w:tcPr>
            <w:tcW w:w="870" w:type="dxa"/>
            <w:vAlign w:val="top"/>
          </w:tcPr>
          <w:p w14:paraId="6DC544C9">
            <w:pPr>
              <w:pStyle w:val="25"/>
              <w:spacing w:before="180" w:line="237" w:lineRule="auto"/>
              <w:ind w:left="187"/>
            </w:pPr>
            <w:r>
              <w:rPr>
                <w:spacing w:val="-8"/>
              </w:rPr>
              <w:t>≥80%</w:t>
            </w:r>
          </w:p>
        </w:tc>
        <w:tc>
          <w:tcPr>
            <w:tcW w:w="1079" w:type="dxa"/>
            <w:vAlign w:val="top"/>
          </w:tcPr>
          <w:p w14:paraId="32F817E7">
            <w:pPr>
              <w:pStyle w:val="25"/>
              <w:spacing w:before="180" w:line="219" w:lineRule="auto"/>
              <w:ind w:left="328"/>
            </w:pPr>
            <w:r>
              <w:rPr>
                <w:spacing w:val="-5"/>
              </w:rPr>
              <w:t>季度</w:t>
            </w:r>
          </w:p>
        </w:tc>
        <w:tc>
          <w:tcPr>
            <w:tcW w:w="1079" w:type="dxa"/>
            <w:vAlign w:val="top"/>
          </w:tcPr>
          <w:p w14:paraId="183CA83B">
            <w:pPr>
              <w:pStyle w:val="25"/>
              <w:spacing w:before="180" w:line="219" w:lineRule="auto"/>
              <w:ind w:left="328"/>
              <w:rPr>
                <w:rFonts w:hint="default" w:eastAsia="宋体"/>
                <w:spacing w:val="-5"/>
                <w:lang w:val="en-US" w:eastAsia="zh-CN"/>
              </w:rPr>
            </w:pPr>
            <w:r>
              <w:rPr>
                <w:rFonts w:hint="eastAsia"/>
                <w:spacing w:val="-5"/>
                <w:lang w:val="en-US" w:eastAsia="zh-CN"/>
              </w:rPr>
              <w:t>98%</w:t>
            </w:r>
          </w:p>
        </w:tc>
        <w:tc>
          <w:tcPr>
            <w:tcW w:w="1079" w:type="dxa"/>
            <w:vAlign w:val="top"/>
          </w:tcPr>
          <w:p w14:paraId="32B38D17">
            <w:pPr>
              <w:pStyle w:val="25"/>
              <w:spacing w:before="180" w:line="219" w:lineRule="auto"/>
              <w:ind w:left="328"/>
              <w:rPr>
                <w:rFonts w:hint="default" w:eastAsia="宋体"/>
                <w:spacing w:val="-5"/>
                <w:lang w:val="en-US" w:eastAsia="zh-CN"/>
              </w:rPr>
            </w:pPr>
            <w:r>
              <w:rPr>
                <w:rFonts w:hint="eastAsia"/>
                <w:spacing w:val="-5"/>
                <w:lang w:val="en-US" w:eastAsia="zh-CN"/>
              </w:rPr>
              <w:t>98%</w:t>
            </w:r>
          </w:p>
        </w:tc>
        <w:tc>
          <w:tcPr>
            <w:tcW w:w="1079" w:type="dxa"/>
            <w:vAlign w:val="top"/>
          </w:tcPr>
          <w:p w14:paraId="30629D47">
            <w:pPr>
              <w:pStyle w:val="25"/>
              <w:spacing w:before="180" w:line="219" w:lineRule="auto"/>
              <w:ind w:left="328"/>
              <w:rPr>
                <w:rFonts w:hint="default" w:eastAsia="宋体"/>
                <w:spacing w:val="-5"/>
                <w:lang w:val="en-US" w:eastAsia="zh-CN"/>
              </w:rPr>
            </w:pPr>
            <w:r>
              <w:rPr>
                <w:rFonts w:hint="eastAsia"/>
                <w:spacing w:val="-5"/>
                <w:lang w:val="en-US" w:eastAsia="zh-CN"/>
              </w:rPr>
              <w:t>100%</w:t>
            </w:r>
          </w:p>
        </w:tc>
        <w:tc>
          <w:tcPr>
            <w:tcW w:w="1079" w:type="dxa"/>
            <w:vAlign w:val="top"/>
          </w:tcPr>
          <w:p w14:paraId="0372AC28">
            <w:pPr>
              <w:pStyle w:val="25"/>
              <w:spacing w:before="180" w:line="219" w:lineRule="auto"/>
              <w:ind w:left="328"/>
              <w:rPr>
                <w:rFonts w:hint="default" w:eastAsia="宋体"/>
                <w:spacing w:val="-5"/>
                <w:lang w:val="en-US" w:eastAsia="zh-CN"/>
              </w:rPr>
            </w:pPr>
            <w:r>
              <w:rPr>
                <w:rFonts w:hint="eastAsia"/>
                <w:spacing w:val="-5"/>
                <w:lang w:val="en-US" w:eastAsia="zh-CN"/>
              </w:rPr>
              <w:t>100%</w:t>
            </w:r>
          </w:p>
        </w:tc>
      </w:tr>
      <w:tr w14:paraId="047649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Merge w:val="continue"/>
            <w:tcBorders>
              <w:top w:val="nil"/>
              <w:bottom w:val="nil"/>
            </w:tcBorders>
            <w:vAlign w:val="top"/>
          </w:tcPr>
          <w:p w14:paraId="5AA6AB29">
            <w:pPr>
              <w:rPr>
                <w:rFonts w:ascii="Arial"/>
                <w:sz w:val="21"/>
              </w:rPr>
            </w:pPr>
          </w:p>
        </w:tc>
        <w:tc>
          <w:tcPr>
            <w:tcW w:w="839" w:type="dxa"/>
            <w:vAlign w:val="top"/>
          </w:tcPr>
          <w:p w14:paraId="64A940F8">
            <w:pPr>
              <w:pStyle w:val="25"/>
              <w:spacing w:before="180" w:line="239" w:lineRule="auto"/>
              <w:ind w:left="261"/>
            </w:pPr>
            <w:r>
              <w:rPr>
                <w:spacing w:val="-4"/>
              </w:rPr>
              <w:t>2.2</w:t>
            </w:r>
          </w:p>
        </w:tc>
        <w:tc>
          <w:tcPr>
            <w:tcW w:w="2158" w:type="dxa"/>
            <w:vAlign w:val="top"/>
          </w:tcPr>
          <w:p w14:paraId="4946E79E">
            <w:pPr>
              <w:pStyle w:val="25"/>
              <w:spacing w:before="181" w:line="219" w:lineRule="auto"/>
              <w:ind w:left="90"/>
            </w:pPr>
            <w:r>
              <w:rPr>
                <w:spacing w:val="-1"/>
              </w:rPr>
              <w:t>人员储备计划达成率</w:t>
            </w:r>
          </w:p>
        </w:tc>
        <w:tc>
          <w:tcPr>
            <w:tcW w:w="870" w:type="dxa"/>
            <w:vAlign w:val="top"/>
          </w:tcPr>
          <w:p w14:paraId="4B005F6C">
            <w:pPr>
              <w:pStyle w:val="25"/>
              <w:spacing w:before="181" w:line="237" w:lineRule="auto"/>
              <w:ind w:left="187"/>
            </w:pPr>
            <w:r>
              <w:rPr>
                <w:spacing w:val="-8"/>
              </w:rPr>
              <w:t>≥80%</w:t>
            </w:r>
          </w:p>
        </w:tc>
        <w:tc>
          <w:tcPr>
            <w:tcW w:w="1079" w:type="dxa"/>
            <w:vAlign w:val="top"/>
          </w:tcPr>
          <w:p w14:paraId="68EA4C02">
            <w:pPr>
              <w:pStyle w:val="25"/>
              <w:spacing w:before="181" w:line="219" w:lineRule="auto"/>
              <w:ind w:left="328"/>
            </w:pPr>
            <w:r>
              <w:rPr>
                <w:spacing w:val="-5"/>
              </w:rPr>
              <w:t>季度</w:t>
            </w:r>
          </w:p>
        </w:tc>
        <w:tc>
          <w:tcPr>
            <w:tcW w:w="1079" w:type="dxa"/>
            <w:shd w:val="clear"/>
            <w:vAlign w:val="top"/>
          </w:tcPr>
          <w:p w14:paraId="470C5D99">
            <w:pPr>
              <w:pStyle w:val="25"/>
              <w:spacing w:before="180" w:line="219" w:lineRule="auto"/>
              <w:ind w:left="328" w:leftChars="0"/>
              <w:rPr>
                <w:rFonts w:hint="default" w:ascii="宋体" w:hAnsi="宋体" w:eastAsia="宋体" w:cs="宋体"/>
                <w:snapToGrid w:val="0"/>
                <w:color w:val="000000"/>
                <w:spacing w:val="-5"/>
                <w:kern w:val="0"/>
                <w:sz w:val="21"/>
                <w:szCs w:val="21"/>
                <w:lang w:val="en-US" w:eastAsia="zh-CN" w:bidi="ar-SA"/>
              </w:rPr>
            </w:pPr>
            <w:r>
              <w:rPr>
                <w:rFonts w:hint="eastAsia"/>
                <w:spacing w:val="-5"/>
                <w:lang w:val="en-US" w:eastAsia="zh-CN"/>
              </w:rPr>
              <w:t>98%</w:t>
            </w:r>
          </w:p>
        </w:tc>
        <w:tc>
          <w:tcPr>
            <w:tcW w:w="1079" w:type="dxa"/>
            <w:shd w:val="clear"/>
            <w:vAlign w:val="top"/>
          </w:tcPr>
          <w:p w14:paraId="6376C320">
            <w:pPr>
              <w:pStyle w:val="25"/>
              <w:spacing w:before="180" w:line="219" w:lineRule="auto"/>
              <w:ind w:left="328" w:leftChars="0"/>
              <w:rPr>
                <w:rFonts w:hint="default" w:ascii="宋体" w:hAnsi="宋体" w:eastAsia="宋体" w:cs="宋体"/>
                <w:snapToGrid w:val="0"/>
                <w:color w:val="000000"/>
                <w:spacing w:val="-5"/>
                <w:kern w:val="0"/>
                <w:sz w:val="21"/>
                <w:szCs w:val="21"/>
                <w:lang w:val="en-US" w:eastAsia="zh-CN" w:bidi="ar-SA"/>
              </w:rPr>
            </w:pPr>
            <w:r>
              <w:rPr>
                <w:rFonts w:hint="eastAsia"/>
                <w:spacing w:val="-5"/>
                <w:lang w:val="en-US" w:eastAsia="zh-CN"/>
              </w:rPr>
              <w:t>98%</w:t>
            </w:r>
          </w:p>
        </w:tc>
        <w:tc>
          <w:tcPr>
            <w:tcW w:w="1079" w:type="dxa"/>
            <w:shd w:val="clear"/>
            <w:vAlign w:val="top"/>
          </w:tcPr>
          <w:p w14:paraId="565F6DBA">
            <w:pPr>
              <w:pStyle w:val="25"/>
              <w:spacing w:before="180" w:line="219" w:lineRule="auto"/>
              <w:ind w:left="328" w:leftChars="0"/>
              <w:rPr>
                <w:rFonts w:hint="default" w:ascii="宋体" w:hAnsi="宋体" w:eastAsia="宋体" w:cs="宋体"/>
                <w:snapToGrid w:val="0"/>
                <w:color w:val="000000"/>
                <w:spacing w:val="-5"/>
                <w:kern w:val="0"/>
                <w:sz w:val="21"/>
                <w:szCs w:val="21"/>
                <w:lang w:val="en-US" w:eastAsia="zh-CN" w:bidi="ar-SA"/>
              </w:rPr>
            </w:pPr>
            <w:r>
              <w:rPr>
                <w:rFonts w:hint="eastAsia"/>
                <w:spacing w:val="-5"/>
                <w:lang w:val="en-US" w:eastAsia="zh-CN"/>
              </w:rPr>
              <w:t>100%</w:t>
            </w:r>
          </w:p>
        </w:tc>
        <w:tc>
          <w:tcPr>
            <w:tcW w:w="1079" w:type="dxa"/>
            <w:vAlign w:val="top"/>
          </w:tcPr>
          <w:p w14:paraId="2CC95C6A">
            <w:pPr>
              <w:pStyle w:val="25"/>
              <w:spacing w:before="181" w:line="219" w:lineRule="auto"/>
              <w:ind w:left="328"/>
              <w:rPr>
                <w:rFonts w:hint="default" w:eastAsia="宋体"/>
                <w:spacing w:val="-5"/>
                <w:lang w:val="en-US" w:eastAsia="zh-CN"/>
              </w:rPr>
            </w:pPr>
            <w:r>
              <w:rPr>
                <w:rFonts w:hint="eastAsia"/>
                <w:spacing w:val="-5"/>
                <w:lang w:val="en-US" w:eastAsia="zh-CN"/>
              </w:rPr>
              <w:t>100%</w:t>
            </w:r>
          </w:p>
        </w:tc>
      </w:tr>
      <w:tr w14:paraId="1748D4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Merge w:val="continue"/>
            <w:tcBorders>
              <w:top w:val="nil"/>
              <w:bottom w:val="nil"/>
            </w:tcBorders>
            <w:vAlign w:val="top"/>
          </w:tcPr>
          <w:p w14:paraId="6412DC9C">
            <w:pPr>
              <w:rPr>
                <w:rFonts w:ascii="Arial"/>
                <w:sz w:val="21"/>
              </w:rPr>
            </w:pPr>
          </w:p>
        </w:tc>
        <w:tc>
          <w:tcPr>
            <w:tcW w:w="839" w:type="dxa"/>
            <w:vAlign w:val="top"/>
          </w:tcPr>
          <w:p w14:paraId="69EFBEC1">
            <w:pPr>
              <w:pStyle w:val="25"/>
              <w:spacing w:before="180" w:line="239" w:lineRule="auto"/>
              <w:ind w:left="261"/>
            </w:pPr>
            <w:r>
              <w:rPr>
                <w:spacing w:val="-4"/>
              </w:rPr>
              <w:t>2.3</w:t>
            </w:r>
          </w:p>
        </w:tc>
        <w:tc>
          <w:tcPr>
            <w:tcW w:w="2158" w:type="dxa"/>
            <w:vAlign w:val="top"/>
          </w:tcPr>
          <w:p w14:paraId="1DF59656">
            <w:pPr>
              <w:pStyle w:val="25"/>
              <w:spacing w:before="181" w:line="219" w:lineRule="auto"/>
              <w:ind w:left="90"/>
            </w:pPr>
            <w:r>
              <w:rPr>
                <w:spacing w:val="-1"/>
              </w:rPr>
              <w:t>人员绩效考核达标率</w:t>
            </w:r>
          </w:p>
        </w:tc>
        <w:tc>
          <w:tcPr>
            <w:tcW w:w="870" w:type="dxa"/>
            <w:vAlign w:val="top"/>
          </w:tcPr>
          <w:p w14:paraId="46733B61">
            <w:pPr>
              <w:pStyle w:val="25"/>
              <w:spacing w:before="181" w:line="237" w:lineRule="auto"/>
              <w:ind w:left="187"/>
            </w:pPr>
            <w:r>
              <w:rPr>
                <w:spacing w:val="-8"/>
              </w:rPr>
              <w:t>≥90%</w:t>
            </w:r>
          </w:p>
        </w:tc>
        <w:tc>
          <w:tcPr>
            <w:tcW w:w="1079" w:type="dxa"/>
            <w:vAlign w:val="top"/>
          </w:tcPr>
          <w:p w14:paraId="7987589B">
            <w:pPr>
              <w:pStyle w:val="25"/>
              <w:spacing w:before="181" w:line="219" w:lineRule="auto"/>
              <w:ind w:left="332"/>
            </w:pPr>
            <w:r>
              <w:rPr>
                <w:spacing w:val="-7"/>
              </w:rPr>
              <w:t>月度</w:t>
            </w:r>
          </w:p>
        </w:tc>
        <w:tc>
          <w:tcPr>
            <w:tcW w:w="1079" w:type="dxa"/>
            <w:vAlign w:val="top"/>
          </w:tcPr>
          <w:p w14:paraId="2C4116C0">
            <w:pPr>
              <w:pStyle w:val="25"/>
              <w:spacing w:before="181" w:line="219" w:lineRule="auto"/>
              <w:ind w:left="332"/>
              <w:rPr>
                <w:rFonts w:hint="default" w:eastAsia="宋体"/>
                <w:spacing w:val="-7"/>
                <w:lang w:val="en-US" w:eastAsia="zh-CN"/>
              </w:rPr>
            </w:pPr>
            <w:r>
              <w:rPr>
                <w:rFonts w:hint="eastAsia"/>
                <w:spacing w:val="-7"/>
                <w:lang w:val="en-US" w:eastAsia="zh-CN"/>
              </w:rPr>
              <w:t>92%</w:t>
            </w:r>
          </w:p>
        </w:tc>
        <w:tc>
          <w:tcPr>
            <w:tcW w:w="1079" w:type="dxa"/>
            <w:vAlign w:val="top"/>
          </w:tcPr>
          <w:p w14:paraId="7638CF2F">
            <w:pPr>
              <w:pStyle w:val="25"/>
              <w:spacing w:before="181" w:line="219" w:lineRule="auto"/>
              <w:ind w:left="332"/>
              <w:rPr>
                <w:rFonts w:hint="default" w:eastAsia="宋体"/>
                <w:spacing w:val="-7"/>
                <w:lang w:val="en-US" w:eastAsia="zh-CN"/>
              </w:rPr>
            </w:pPr>
            <w:r>
              <w:rPr>
                <w:rFonts w:hint="eastAsia"/>
                <w:spacing w:val="-7"/>
                <w:lang w:val="en-US" w:eastAsia="zh-CN"/>
              </w:rPr>
              <w:t>94%</w:t>
            </w:r>
          </w:p>
        </w:tc>
        <w:tc>
          <w:tcPr>
            <w:tcW w:w="1079" w:type="dxa"/>
            <w:vAlign w:val="top"/>
          </w:tcPr>
          <w:p w14:paraId="741B25DC">
            <w:pPr>
              <w:pStyle w:val="25"/>
              <w:spacing w:before="181" w:line="219" w:lineRule="auto"/>
              <w:ind w:left="332"/>
              <w:rPr>
                <w:rFonts w:hint="default" w:eastAsia="宋体"/>
                <w:spacing w:val="-7"/>
                <w:lang w:val="en-US" w:eastAsia="zh-CN"/>
              </w:rPr>
            </w:pPr>
            <w:r>
              <w:rPr>
                <w:rFonts w:hint="eastAsia"/>
                <w:spacing w:val="-7"/>
                <w:lang w:val="en-US" w:eastAsia="zh-CN"/>
              </w:rPr>
              <w:t>95%</w:t>
            </w:r>
          </w:p>
        </w:tc>
        <w:tc>
          <w:tcPr>
            <w:tcW w:w="1079" w:type="dxa"/>
            <w:vAlign w:val="top"/>
          </w:tcPr>
          <w:p w14:paraId="1E41D02D">
            <w:pPr>
              <w:pStyle w:val="25"/>
              <w:spacing w:before="181" w:line="219" w:lineRule="auto"/>
              <w:ind w:left="332"/>
              <w:rPr>
                <w:spacing w:val="-7"/>
              </w:rPr>
            </w:pPr>
            <w:r>
              <w:rPr>
                <w:rFonts w:hint="eastAsia"/>
                <w:spacing w:val="-5"/>
                <w:lang w:val="en-US" w:eastAsia="zh-CN"/>
              </w:rPr>
              <w:t>97%</w:t>
            </w:r>
          </w:p>
        </w:tc>
      </w:tr>
      <w:tr w14:paraId="554360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Merge w:val="continue"/>
            <w:tcBorders>
              <w:top w:val="nil"/>
            </w:tcBorders>
            <w:vAlign w:val="top"/>
          </w:tcPr>
          <w:p w14:paraId="07451081">
            <w:pPr>
              <w:rPr>
                <w:rFonts w:ascii="Arial"/>
                <w:sz w:val="21"/>
              </w:rPr>
            </w:pPr>
          </w:p>
        </w:tc>
        <w:tc>
          <w:tcPr>
            <w:tcW w:w="839" w:type="dxa"/>
            <w:vAlign w:val="top"/>
          </w:tcPr>
          <w:p w14:paraId="7D22937A">
            <w:pPr>
              <w:pStyle w:val="25"/>
              <w:spacing w:before="181" w:line="239" w:lineRule="auto"/>
              <w:ind w:left="261"/>
            </w:pPr>
            <w:r>
              <w:rPr>
                <w:spacing w:val="-4"/>
              </w:rPr>
              <w:t>2.4</w:t>
            </w:r>
          </w:p>
        </w:tc>
        <w:tc>
          <w:tcPr>
            <w:tcW w:w="2158" w:type="dxa"/>
            <w:vAlign w:val="top"/>
          </w:tcPr>
          <w:p w14:paraId="5C2C3E5F">
            <w:pPr>
              <w:pStyle w:val="25"/>
              <w:spacing w:before="182" w:line="219" w:lineRule="auto"/>
              <w:ind w:left="90"/>
            </w:pPr>
            <w:r>
              <w:rPr>
                <w:spacing w:val="-1"/>
              </w:rPr>
              <w:t>人员培训计划达成率</w:t>
            </w:r>
          </w:p>
        </w:tc>
        <w:tc>
          <w:tcPr>
            <w:tcW w:w="870" w:type="dxa"/>
            <w:vAlign w:val="top"/>
          </w:tcPr>
          <w:p w14:paraId="16804799">
            <w:pPr>
              <w:pStyle w:val="25"/>
              <w:spacing w:before="182" w:line="237" w:lineRule="auto"/>
              <w:ind w:left="187"/>
            </w:pPr>
            <w:r>
              <w:rPr>
                <w:spacing w:val="-8"/>
              </w:rPr>
              <w:t>≥90%</w:t>
            </w:r>
          </w:p>
        </w:tc>
        <w:tc>
          <w:tcPr>
            <w:tcW w:w="1079" w:type="dxa"/>
            <w:vAlign w:val="top"/>
          </w:tcPr>
          <w:p w14:paraId="34C40797">
            <w:pPr>
              <w:pStyle w:val="25"/>
              <w:spacing w:before="182" w:line="219" w:lineRule="auto"/>
              <w:ind w:left="328"/>
            </w:pPr>
            <w:r>
              <w:rPr>
                <w:spacing w:val="-5"/>
              </w:rPr>
              <w:t>季度</w:t>
            </w:r>
          </w:p>
        </w:tc>
        <w:tc>
          <w:tcPr>
            <w:tcW w:w="1079" w:type="dxa"/>
            <w:vAlign w:val="top"/>
          </w:tcPr>
          <w:p w14:paraId="2B7F2D65">
            <w:pPr>
              <w:pStyle w:val="25"/>
              <w:spacing w:before="182" w:line="219" w:lineRule="auto"/>
              <w:ind w:left="328"/>
              <w:rPr>
                <w:spacing w:val="-5"/>
              </w:rPr>
            </w:pPr>
            <w:r>
              <w:rPr>
                <w:rFonts w:hint="eastAsia"/>
                <w:spacing w:val="-5"/>
                <w:lang w:val="en-US" w:eastAsia="zh-CN"/>
              </w:rPr>
              <w:t>100%</w:t>
            </w:r>
          </w:p>
        </w:tc>
        <w:tc>
          <w:tcPr>
            <w:tcW w:w="1079" w:type="dxa"/>
            <w:vAlign w:val="top"/>
          </w:tcPr>
          <w:p w14:paraId="3EC3C27D">
            <w:pPr>
              <w:pStyle w:val="25"/>
              <w:spacing w:before="182" w:line="219" w:lineRule="auto"/>
              <w:ind w:left="328"/>
              <w:rPr>
                <w:spacing w:val="-5"/>
              </w:rPr>
            </w:pPr>
            <w:r>
              <w:rPr>
                <w:rFonts w:hint="eastAsia"/>
                <w:spacing w:val="-5"/>
                <w:lang w:val="en-US" w:eastAsia="zh-CN"/>
              </w:rPr>
              <w:t>100%</w:t>
            </w:r>
          </w:p>
        </w:tc>
        <w:tc>
          <w:tcPr>
            <w:tcW w:w="1079" w:type="dxa"/>
            <w:vAlign w:val="top"/>
          </w:tcPr>
          <w:p w14:paraId="762BD6C2">
            <w:pPr>
              <w:pStyle w:val="25"/>
              <w:spacing w:before="182" w:line="219" w:lineRule="auto"/>
              <w:ind w:left="328"/>
              <w:rPr>
                <w:spacing w:val="-5"/>
              </w:rPr>
            </w:pPr>
            <w:r>
              <w:rPr>
                <w:rFonts w:hint="eastAsia"/>
                <w:spacing w:val="-5"/>
                <w:lang w:val="en-US" w:eastAsia="zh-CN"/>
              </w:rPr>
              <w:t>100%</w:t>
            </w:r>
          </w:p>
        </w:tc>
        <w:tc>
          <w:tcPr>
            <w:tcW w:w="1079" w:type="dxa"/>
            <w:vAlign w:val="top"/>
          </w:tcPr>
          <w:p w14:paraId="22E1EF35">
            <w:pPr>
              <w:pStyle w:val="25"/>
              <w:spacing w:before="182" w:line="219" w:lineRule="auto"/>
              <w:ind w:left="328"/>
              <w:rPr>
                <w:spacing w:val="-5"/>
              </w:rPr>
            </w:pPr>
            <w:r>
              <w:rPr>
                <w:rFonts w:hint="eastAsia"/>
                <w:spacing w:val="-5"/>
                <w:lang w:val="en-US" w:eastAsia="zh-CN"/>
              </w:rPr>
              <w:t>100%</w:t>
            </w:r>
          </w:p>
        </w:tc>
      </w:tr>
      <w:tr w14:paraId="099509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Align w:val="top"/>
          </w:tcPr>
          <w:p w14:paraId="5AE043FF">
            <w:pPr>
              <w:pStyle w:val="25"/>
              <w:spacing w:before="183" w:line="219" w:lineRule="auto"/>
              <w:ind w:left="107"/>
            </w:pPr>
            <w:r>
              <w:rPr>
                <w:spacing w:val="-5"/>
              </w:rPr>
              <w:t>技术</w:t>
            </w:r>
          </w:p>
        </w:tc>
        <w:tc>
          <w:tcPr>
            <w:tcW w:w="839" w:type="dxa"/>
            <w:vAlign w:val="top"/>
          </w:tcPr>
          <w:p w14:paraId="245F3B01">
            <w:pPr>
              <w:pStyle w:val="25"/>
              <w:spacing w:before="182" w:line="239" w:lineRule="auto"/>
              <w:ind w:left="262"/>
            </w:pPr>
            <w:r>
              <w:rPr>
                <w:spacing w:val="-5"/>
              </w:rPr>
              <w:t>3.1</w:t>
            </w:r>
          </w:p>
        </w:tc>
        <w:tc>
          <w:tcPr>
            <w:tcW w:w="2158" w:type="dxa"/>
            <w:vAlign w:val="top"/>
          </w:tcPr>
          <w:p w14:paraId="05E575A6">
            <w:pPr>
              <w:pStyle w:val="25"/>
              <w:spacing w:before="183" w:line="219" w:lineRule="auto"/>
              <w:ind w:left="89"/>
            </w:pPr>
            <w:r>
              <w:rPr>
                <w:spacing w:val="-1"/>
              </w:rPr>
              <w:t>技术研发完成延时率</w:t>
            </w:r>
          </w:p>
        </w:tc>
        <w:tc>
          <w:tcPr>
            <w:tcW w:w="870" w:type="dxa"/>
            <w:vAlign w:val="top"/>
          </w:tcPr>
          <w:p w14:paraId="2456E1C2">
            <w:pPr>
              <w:pStyle w:val="25"/>
              <w:spacing w:before="182" w:line="236" w:lineRule="auto"/>
              <w:ind w:left="235"/>
            </w:pPr>
            <w:r>
              <w:rPr>
                <w:spacing w:val="-8"/>
              </w:rPr>
              <w:t>≤5%</w:t>
            </w:r>
          </w:p>
        </w:tc>
        <w:tc>
          <w:tcPr>
            <w:tcW w:w="1079" w:type="dxa"/>
            <w:vAlign w:val="top"/>
          </w:tcPr>
          <w:p w14:paraId="337F07BD">
            <w:pPr>
              <w:pStyle w:val="25"/>
              <w:spacing w:before="183" w:line="219" w:lineRule="auto"/>
              <w:ind w:left="328"/>
            </w:pPr>
            <w:r>
              <w:rPr>
                <w:spacing w:val="-5"/>
              </w:rPr>
              <w:t>季度</w:t>
            </w:r>
          </w:p>
        </w:tc>
        <w:tc>
          <w:tcPr>
            <w:tcW w:w="1079" w:type="dxa"/>
            <w:vAlign w:val="top"/>
          </w:tcPr>
          <w:p w14:paraId="62065D80">
            <w:pPr>
              <w:pStyle w:val="25"/>
              <w:spacing w:before="183" w:line="219" w:lineRule="auto"/>
              <w:ind w:left="328"/>
              <w:rPr>
                <w:rFonts w:hint="default" w:eastAsia="宋体"/>
                <w:spacing w:val="-5"/>
                <w:lang w:val="en-US" w:eastAsia="zh-CN"/>
              </w:rPr>
            </w:pPr>
            <w:r>
              <w:rPr>
                <w:rFonts w:hint="eastAsia"/>
                <w:spacing w:val="-5"/>
                <w:lang w:val="en-US" w:eastAsia="zh-CN"/>
              </w:rPr>
              <w:t>2%</w:t>
            </w:r>
          </w:p>
        </w:tc>
        <w:tc>
          <w:tcPr>
            <w:tcW w:w="1079" w:type="dxa"/>
            <w:vAlign w:val="top"/>
          </w:tcPr>
          <w:p w14:paraId="41ECBD5F">
            <w:pPr>
              <w:pStyle w:val="25"/>
              <w:spacing w:before="183" w:line="219" w:lineRule="auto"/>
              <w:ind w:left="328"/>
              <w:rPr>
                <w:rFonts w:hint="eastAsia" w:eastAsia="宋体"/>
                <w:spacing w:val="-5"/>
                <w:lang w:val="en-US" w:eastAsia="zh-CN"/>
              </w:rPr>
            </w:pPr>
            <w:r>
              <w:rPr>
                <w:rFonts w:hint="eastAsia"/>
                <w:spacing w:val="-5"/>
                <w:lang w:val="en-US" w:eastAsia="zh-CN"/>
              </w:rPr>
              <w:t>0</w:t>
            </w:r>
          </w:p>
        </w:tc>
        <w:tc>
          <w:tcPr>
            <w:tcW w:w="1079" w:type="dxa"/>
            <w:vAlign w:val="top"/>
          </w:tcPr>
          <w:p w14:paraId="69218170">
            <w:pPr>
              <w:pStyle w:val="25"/>
              <w:spacing w:before="183" w:line="219" w:lineRule="auto"/>
              <w:ind w:left="328"/>
              <w:rPr>
                <w:rFonts w:hint="eastAsia" w:eastAsia="宋体"/>
                <w:spacing w:val="-5"/>
                <w:lang w:val="en-US" w:eastAsia="zh-CN"/>
              </w:rPr>
            </w:pPr>
            <w:r>
              <w:rPr>
                <w:rFonts w:hint="eastAsia"/>
                <w:spacing w:val="-5"/>
                <w:lang w:val="en-US" w:eastAsia="zh-CN"/>
              </w:rPr>
              <w:t>0</w:t>
            </w:r>
          </w:p>
        </w:tc>
        <w:tc>
          <w:tcPr>
            <w:tcW w:w="1079" w:type="dxa"/>
            <w:vAlign w:val="top"/>
          </w:tcPr>
          <w:p w14:paraId="03824BC0">
            <w:pPr>
              <w:pStyle w:val="25"/>
              <w:spacing w:before="183" w:line="219" w:lineRule="auto"/>
              <w:ind w:left="328"/>
              <w:rPr>
                <w:rFonts w:hint="eastAsia" w:eastAsia="宋体"/>
                <w:spacing w:val="-5"/>
                <w:lang w:val="en-US" w:eastAsia="zh-CN"/>
              </w:rPr>
            </w:pPr>
            <w:r>
              <w:rPr>
                <w:rFonts w:hint="eastAsia"/>
                <w:spacing w:val="-5"/>
                <w:lang w:val="en-US" w:eastAsia="zh-CN"/>
              </w:rPr>
              <w:t>0</w:t>
            </w:r>
          </w:p>
        </w:tc>
      </w:tr>
      <w:tr w14:paraId="75AF2A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Merge w:val="restart"/>
            <w:tcBorders>
              <w:bottom w:val="nil"/>
            </w:tcBorders>
            <w:vAlign w:val="top"/>
          </w:tcPr>
          <w:p w14:paraId="27287E3D">
            <w:pPr>
              <w:spacing w:line="241" w:lineRule="auto"/>
              <w:rPr>
                <w:rFonts w:ascii="Arial"/>
                <w:sz w:val="21"/>
              </w:rPr>
            </w:pPr>
          </w:p>
          <w:p w14:paraId="0BC6096C">
            <w:pPr>
              <w:spacing w:line="242" w:lineRule="auto"/>
              <w:rPr>
                <w:rFonts w:ascii="Arial"/>
                <w:sz w:val="21"/>
              </w:rPr>
            </w:pPr>
          </w:p>
          <w:p w14:paraId="5015B003">
            <w:pPr>
              <w:spacing w:line="242" w:lineRule="auto"/>
              <w:rPr>
                <w:rFonts w:ascii="Arial"/>
                <w:sz w:val="21"/>
              </w:rPr>
            </w:pPr>
          </w:p>
          <w:p w14:paraId="1043A793">
            <w:pPr>
              <w:spacing w:line="242" w:lineRule="auto"/>
              <w:rPr>
                <w:rFonts w:ascii="Arial"/>
                <w:sz w:val="21"/>
              </w:rPr>
            </w:pPr>
          </w:p>
          <w:p w14:paraId="21195BBB">
            <w:pPr>
              <w:pStyle w:val="25"/>
              <w:spacing w:before="71" w:line="221" w:lineRule="auto"/>
              <w:ind w:left="116"/>
            </w:pPr>
            <w:r>
              <w:rPr>
                <w:spacing w:val="-9"/>
              </w:rPr>
              <w:t>资源</w:t>
            </w:r>
          </w:p>
        </w:tc>
        <w:tc>
          <w:tcPr>
            <w:tcW w:w="839" w:type="dxa"/>
            <w:vAlign w:val="top"/>
          </w:tcPr>
          <w:p w14:paraId="182A94ED">
            <w:pPr>
              <w:pStyle w:val="25"/>
              <w:spacing w:before="182" w:line="239" w:lineRule="auto"/>
              <w:ind w:left="257"/>
            </w:pPr>
            <w:r>
              <w:rPr>
                <w:spacing w:val="-3"/>
              </w:rPr>
              <w:t>4.1</w:t>
            </w:r>
          </w:p>
        </w:tc>
        <w:tc>
          <w:tcPr>
            <w:tcW w:w="2158" w:type="dxa"/>
            <w:vAlign w:val="top"/>
          </w:tcPr>
          <w:p w14:paraId="6EC12168">
            <w:pPr>
              <w:pStyle w:val="25"/>
              <w:spacing w:before="183" w:line="219" w:lineRule="auto"/>
              <w:ind w:left="199"/>
            </w:pPr>
            <w:r>
              <w:rPr>
                <w:spacing w:val="-1"/>
              </w:rPr>
              <w:t>运维工具评审次数</w:t>
            </w:r>
          </w:p>
        </w:tc>
        <w:tc>
          <w:tcPr>
            <w:tcW w:w="870" w:type="dxa"/>
            <w:vAlign w:val="top"/>
          </w:tcPr>
          <w:p w14:paraId="61B46AAB">
            <w:pPr>
              <w:pStyle w:val="25"/>
              <w:spacing w:before="183" w:line="219" w:lineRule="auto"/>
              <w:ind w:left="187"/>
            </w:pPr>
            <w:r>
              <w:rPr>
                <w:spacing w:val="-10"/>
              </w:rPr>
              <w:t>≥1次</w:t>
            </w:r>
          </w:p>
        </w:tc>
        <w:tc>
          <w:tcPr>
            <w:tcW w:w="1079" w:type="dxa"/>
            <w:vAlign w:val="top"/>
          </w:tcPr>
          <w:p w14:paraId="3C3F6B29">
            <w:pPr>
              <w:pStyle w:val="25"/>
              <w:spacing w:before="183" w:line="219" w:lineRule="auto"/>
              <w:ind w:left="328"/>
            </w:pPr>
            <w:r>
              <w:rPr>
                <w:spacing w:val="-5"/>
              </w:rPr>
              <w:t>年度</w:t>
            </w:r>
          </w:p>
        </w:tc>
        <w:tc>
          <w:tcPr>
            <w:tcW w:w="1079" w:type="dxa"/>
            <w:vAlign w:val="top"/>
          </w:tcPr>
          <w:p w14:paraId="74D03DF2">
            <w:pPr>
              <w:pStyle w:val="25"/>
              <w:spacing w:before="183" w:line="219" w:lineRule="auto"/>
              <w:ind w:left="328"/>
              <w:rPr>
                <w:spacing w:val="-5"/>
              </w:rPr>
            </w:pPr>
            <w:r>
              <w:rPr>
                <w:rFonts w:hint="eastAsia"/>
                <w:spacing w:val="-5"/>
                <w:lang w:val="en-US" w:eastAsia="zh-CN"/>
              </w:rPr>
              <w:t>1次</w:t>
            </w:r>
          </w:p>
        </w:tc>
        <w:tc>
          <w:tcPr>
            <w:tcW w:w="1079" w:type="dxa"/>
            <w:vAlign w:val="top"/>
          </w:tcPr>
          <w:p w14:paraId="5467F680">
            <w:pPr>
              <w:pStyle w:val="25"/>
              <w:spacing w:before="183" w:line="219" w:lineRule="auto"/>
              <w:ind w:left="328"/>
              <w:rPr>
                <w:spacing w:val="-5"/>
              </w:rPr>
            </w:pPr>
            <w:r>
              <w:rPr>
                <w:rFonts w:hint="eastAsia"/>
                <w:spacing w:val="-5"/>
                <w:lang w:val="en-US" w:eastAsia="zh-CN"/>
              </w:rPr>
              <w:t>1次</w:t>
            </w:r>
          </w:p>
        </w:tc>
        <w:tc>
          <w:tcPr>
            <w:tcW w:w="1079" w:type="dxa"/>
            <w:vAlign w:val="top"/>
          </w:tcPr>
          <w:p w14:paraId="255BF9FA">
            <w:pPr>
              <w:pStyle w:val="25"/>
              <w:spacing w:before="183" w:line="219" w:lineRule="auto"/>
              <w:ind w:left="328"/>
              <w:rPr>
                <w:spacing w:val="-5"/>
              </w:rPr>
            </w:pPr>
            <w:r>
              <w:rPr>
                <w:rFonts w:hint="eastAsia"/>
                <w:spacing w:val="-5"/>
                <w:lang w:val="en-US" w:eastAsia="zh-CN"/>
              </w:rPr>
              <w:t>1次</w:t>
            </w:r>
          </w:p>
        </w:tc>
        <w:tc>
          <w:tcPr>
            <w:tcW w:w="1079" w:type="dxa"/>
            <w:vAlign w:val="top"/>
          </w:tcPr>
          <w:p w14:paraId="514AD987">
            <w:pPr>
              <w:pStyle w:val="25"/>
              <w:spacing w:before="183" w:line="219" w:lineRule="auto"/>
              <w:ind w:left="328"/>
              <w:rPr>
                <w:rFonts w:hint="default" w:eastAsia="宋体"/>
                <w:spacing w:val="-5"/>
                <w:lang w:val="en-US" w:eastAsia="zh-CN"/>
              </w:rPr>
            </w:pPr>
            <w:r>
              <w:rPr>
                <w:rFonts w:hint="eastAsia"/>
                <w:spacing w:val="-5"/>
                <w:lang w:val="en-US" w:eastAsia="zh-CN"/>
              </w:rPr>
              <w:t>1次</w:t>
            </w:r>
          </w:p>
        </w:tc>
      </w:tr>
      <w:tr w14:paraId="44A757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Merge w:val="continue"/>
            <w:tcBorders>
              <w:top w:val="nil"/>
              <w:bottom w:val="nil"/>
            </w:tcBorders>
            <w:vAlign w:val="top"/>
          </w:tcPr>
          <w:p w14:paraId="59469AD0">
            <w:pPr>
              <w:rPr>
                <w:rFonts w:ascii="Arial"/>
                <w:sz w:val="21"/>
              </w:rPr>
            </w:pPr>
          </w:p>
        </w:tc>
        <w:tc>
          <w:tcPr>
            <w:tcW w:w="839" w:type="dxa"/>
            <w:vAlign w:val="top"/>
          </w:tcPr>
          <w:p w14:paraId="0B91A1A2">
            <w:pPr>
              <w:pStyle w:val="25"/>
              <w:spacing w:before="183" w:line="239" w:lineRule="auto"/>
              <w:ind w:left="257"/>
            </w:pPr>
            <w:r>
              <w:rPr>
                <w:spacing w:val="-3"/>
              </w:rPr>
              <w:t>4.2</w:t>
            </w:r>
          </w:p>
        </w:tc>
        <w:tc>
          <w:tcPr>
            <w:tcW w:w="2158" w:type="dxa"/>
            <w:vAlign w:val="top"/>
          </w:tcPr>
          <w:p w14:paraId="2C53E208">
            <w:pPr>
              <w:pStyle w:val="25"/>
              <w:spacing w:before="184" w:line="219" w:lineRule="auto"/>
              <w:ind w:left="421"/>
            </w:pPr>
            <w:r>
              <w:rPr>
                <w:spacing w:val="-1"/>
              </w:rPr>
              <w:t>新增知识条目</w:t>
            </w:r>
          </w:p>
        </w:tc>
        <w:tc>
          <w:tcPr>
            <w:tcW w:w="870" w:type="dxa"/>
            <w:vAlign w:val="top"/>
          </w:tcPr>
          <w:p w14:paraId="7DA83B4C">
            <w:pPr>
              <w:pStyle w:val="25"/>
              <w:spacing w:before="184" w:line="219" w:lineRule="auto"/>
              <w:ind w:left="187"/>
            </w:pPr>
            <w:r>
              <w:rPr>
                <w:spacing w:val="-10"/>
              </w:rPr>
              <w:t>≥5条</w:t>
            </w:r>
          </w:p>
        </w:tc>
        <w:tc>
          <w:tcPr>
            <w:tcW w:w="1079" w:type="dxa"/>
            <w:vAlign w:val="top"/>
          </w:tcPr>
          <w:p w14:paraId="77733E07">
            <w:pPr>
              <w:pStyle w:val="25"/>
              <w:spacing w:before="184" w:line="219" w:lineRule="auto"/>
              <w:ind w:left="332"/>
            </w:pPr>
            <w:r>
              <w:rPr>
                <w:spacing w:val="-7"/>
              </w:rPr>
              <w:t>月度</w:t>
            </w:r>
          </w:p>
        </w:tc>
        <w:tc>
          <w:tcPr>
            <w:tcW w:w="1079" w:type="dxa"/>
            <w:vAlign w:val="top"/>
          </w:tcPr>
          <w:p w14:paraId="0D5DA43C">
            <w:pPr>
              <w:pStyle w:val="25"/>
              <w:spacing w:before="184" w:line="219" w:lineRule="auto"/>
              <w:ind w:left="332"/>
              <w:rPr>
                <w:rFonts w:hint="default" w:eastAsia="宋体"/>
                <w:spacing w:val="-7"/>
                <w:lang w:val="en-US" w:eastAsia="zh-CN"/>
              </w:rPr>
            </w:pPr>
            <w:r>
              <w:rPr>
                <w:rFonts w:hint="eastAsia"/>
                <w:spacing w:val="-7"/>
                <w:lang w:val="en-US" w:eastAsia="zh-CN"/>
              </w:rPr>
              <w:t>4条</w:t>
            </w:r>
          </w:p>
        </w:tc>
        <w:tc>
          <w:tcPr>
            <w:tcW w:w="1079" w:type="dxa"/>
            <w:vAlign w:val="top"/>
          </w:tcPr>
          <w:p w14:paraId="57957B1F">
            <w:pPr>
              <w:pStyle w:val="25"/>
              <w:spacing w:before="184" w:line="219" w:lineRule="auto"/>
              <w:ind w:left="332"/>
              <w:rPr>
                <w:rFonts w:hint="default" w:eastAsia="宋体"/>
                <w:spacing w:val="-7"/>
                <w:lang w:val="en-US" w:eastAsia="zh-CN"/>
              </w:rPr>
            </w:pPr>
            <w:r>
              <w:rPr>
                <w:rFonts w:hint="eastAsia"/>
                <w:spacing w:val="-7"/>
                <w:lang w:val="en-US" w:eastAsia="zh-CN"/>
              </w:rPr>
              <w:t>5条</w:t>
            </w:r>
          </w:p>
        </w:tc>
        <w:tc>
          <w:tcPr>
            <w:tcW w:w="1079" w:type="dxa"/>
            <w:vAlign w:val="top"/>
          </w:tcPr>
          <w:p w14:paraId="68A60CD4">
            <w:pPr>
              <w:pStyle w:val="25"/>
              <w:spacing w:before="184" w:line="219" w:lineRule="auto"/>
              <w:ind w:left="332"/>
              <w:rPr>
                <w:rFonts w:hint="default" w:eastAsia="宋体"/>
                <w:spacing w:val="-7"/>
                <w:lang w:val="en-US" w:eastAsia="zh-CN"/>
              </w:rPr>
            </w:pPr>
            <w:r>
              <w:rPr>
                <w:rFonts w:hint="eastAsia"/>
                <w:spacing w:val="-7"/>
                <w:lang w:val="en-US" w:eastAsia="zh-CN"/>
              </w:rPr>
              <w:t>5条</w:t>
            </w:r>
          </w:p>
        </w:tc>
        <w:tc>
          <w:tcPr>
            <w:tcW w:w="1079" w:type="dxa"/>
            <w:vAlign w:val="top"/>
          </w:tcPr>
          <w:p w14:paraId="0E51919C">
            <w:pPr>
              <w:pStyle w:val="25"/>
              <w:spacing w:before="184" w:line="219" w:lineRule="auto"/>
              <w:ind w:left="332"/>
              <w:rPr>
                <w:rFonts w:hint="default" w:eastAsia="宋体"/>
                <w:spacing w:val="-7"/>
                <w:lang w:val="en-US" w:eastAsia="zh-CN"/>
              </w:rPr>
            </w:pPr>
            <w:r>
              <w:rPr>
                <w:rFonts w:hint="eastAsia"/>
                <w:spacing w:val="-7"/>
                <w:lang w:val="en-US" w:eastAsia="zh-CN"/>
              </w:rPr>
              <w:t>6条</w:t>
            </w:r>
          </w:p>
        </w:tc>
      </w:tr>
      <w:tr w14:paraId="3D5C14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Merge w:val="continue"/>
            <w:tcBorders>
              <w:top w:val="nil"/>
              <w:bottom w:val="nil"/>
            </w:tcBorders>
            <w:vAlign w:val="top"/>
          </w:tcPr>
          <w:p w14:paraId="5CCCC69E">
            <w:pPr>
              <w:rPr>
                <w:rFonts w:ascii="Arial"/>
                <w:sz w:val="21"/>
              </w:rPr>
            </w:pPr>
          </w:p>
        </w:tc>
        <w:tc>
          <w:tcPr>
            <w:tcW w:w="839" w:type="dxa"/>
            <w:vAlign w:val="top"/>
          </w:tcPr>
          <w:p w14:paraId="64BD0EBF">
            <w:pPr>
              <w:pStyle w:val="25"/>
              <w:spacing w:before="183" w:line="239" w:lineRule="auto"/>
              <w:ind w:left="257"/>
            </w:pPr>
            <w:r>
              <w:rPr>
                <w:spacing w:val="-3"/>
              </w:rPr>
              <w:t>4.3</w:t>
            </w:r>
          </w:p>
        </w:tc>
        <w:tc>
          <w:tcPr>
            <w:tcW w:w="2158" w:type="dxa"/>
            <w:vAlign w:val="top"/>
          </w:tcPr>
          <w:p w14:paraId="4909D105">
            <w:pPr>
              <w:pStyle w:val="25"/>
              <w:spacing w:before="184" w:line="219" w:lineRule="auto"/>
              <w:ind w:left="312"/>
            </w:pPr>
            <w:r>
              <w:rPr>
                <w:spacing w:val="-1"/>
              </w:rPr>
              <w:t>备品备件可用率</w:t>
            </w:r>
          </w:p>
        </w:tc>
        <w:tc>
          <w:tcPr>
            <w:tcW w:w="870" w:type="dxa"/>
            <w:vAlign w:val="top"/>
          </w:tcPr>
          <w:p w14:paraId="09FA1D6F">
            <w:pPr>
              <w:pStyle w:val="25"/>
              <w:spacing w:before="184" w:line="237" w:lineRule="auto"/>
              <w:ind w:left="187"/>
            </w:pPr>
            <w:r>
              <w:rPr>
                <w:spacing w:val="-8"/>
              </w:rPr>
              <w:t>≥95%</w:t>
            </w:r>
          </w:p>
        </w:tc>
        <w:tc>
          <w:tcPr>
            <w:tcW w:w="1079" w:type="dxa"/>
            <w:vAlign w:val="top"/>
          </w:tcPr>
          <w:p w14:paraId="2811EA65">
            <w:pPr>
              <w:pStyle w:val="25"/>
              <w:spacing w:before="184" w:line="219" w:lineRule="auto"/>
              <w:ind w:left="328"/>
            </w:pPr>
            <w:r>
              <w:rPr>
                <w:spacing w:val="-5"/>
              </w:rPr>
              <w:t>季度</w:t>
            </w:r>
          </w:p>
        </w:tc>
        <w:tc>
          <w:tcPr>
            <w:tcW w:w="1079" w:type="dxa"/>
            <w:vAlign w:val="top"/>
          </w:tcPr>
          <w:p w14:paraId="4383FBF8">
            <w:pPr>
              <w:pStyle w:val="25"/>
              <w:spacing w:before="184" w:line="219" w:lineRule="auto"/>
              <w:ind w:left="328"/>
              <w:rPr>
                <w:rFonts w:hint="default" w:eastAsia="宋体"/>
                <w:spacing w:val="-5"/>
                <w:lang w:val="en-US" w:eastAsia="zh-CN"/>
              </w:rPr>
            </w:pPr>
            <w:r>
              <w:rPr>
                <w:rFonts w:hint="eastAsia"/>
                <w:spacing w:val="-5"/>
                <w:lang w:val="en-US" w:eastAsia="zh-CN"/>
              </w:rPr>
              <w:t>90%</w:t>
            </w:r>
          </w:p>
        </w:tc>
        <w:tc>
          <w:tcPr>
            <w:tcW w:w="1079" w:type="dxa"/>
            <w:vAlign w:val="top"/>
          </w:tcPr>
          <w:p w14:paraId="68174257">
            <w:pPr>
              <w:pStyle w:val="25"/>
              <w:spacing w:before="184" w:line="219" w:lineRule="auto"/>
              <w:ind w:left="328"/>
              <w:rPr>
                <w:rFonts w:hint="default" w:eastAsia="宋体"/>
                <w:spacing w:val="-5"/>
                <w:lang w:val="en-US" w:eastAsia="zh-CN"/>
              </w:rPr>
            </w:pPr>
            <w:r>
              <w:rPr>
                <w:rFonts w:hint="eastAsia"/>
                <w:spacing w:val="-5"/>
                <w:lang w:val="en-US" w:eastAsia="zh-CN"/>
              </w:rPr>
              <w:t>92%</w:t>
            </w:r>
          </w:p>
        </w:tc>
        <w:tc>
          <w:tcPr>
            <w:tcW w:w="1079" w:type="dxa"/>
            <w:vAlign w:val="top"/>
          </w:tcPr>
          <w:p w14:paraId="1DBC0C09">
            <w:pPr>
              <w:pStyle w:val="25"/>
              <w:spacing w:before="184" w:line="219" w:lineRule="auto"/>
              <w:ind w:left="328"/>
              <w:rPr>
                <w:rFonts w:hint="default" w:eastAsia="宋体"/>
                <w:spacing w:val="-5"/>
                <w:lang w:val="en-US" w:eastAsia="zh-CN"/>
              </w:rPr>
            </w:pPr>
            <w:r>
              <w:rPr>
                <w:rFonts w:hint="eastAsia"/>
                <w:spacing w:val="-5"/>
                <w:lang w:val="en-US" w:eastAsia="zh-CN"/>
              </w:rPr>
              <w:t>95%</w:t>
            </w:r>
          </w:p>
        </w:tc>
        <w:tc>
          <w:tcPr>
            <w:tcW w:w="1079" w:type="dxa"/>
            <w:vAlign w:val="top"/>
          </w:tcPr>
          <w:p w14:paraId="4B76174B">
            <w:pPr>
              <w:pStyle w:val="25"/>
              <w:spacing w:before="184" w:line="219" w:lineRule="auto"/>
              <w:ind w:left="328"/>
              <w:rPr>
                <w:spacing w:val="-5"/>
              </w:rPr>
            </w:pPr>
            <w:r>
              <w:rPr>
                <w:rFonts w:hint="eastAsia"/>
                <w:spacing w:val="-5"/>
                <w:lang w:val="en-US" w:eastAsia="zh-CN"/>
              </w:rPr>
              <w:t>96%</w:t>
            </w:r>
          </w:p>
        </w:tc>
      </w:tr>
      <w:tr w14:paraId="747833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640" w:type="dxa"/>
            <w:vMerge w:val="continue"/>
            <w:tcBorders>
              <w:top w:val="nil"/>
            </w:tcBorders>
            <w:vAlign w:val="top"/>
          </w:tcPr>
          <w:p w14:paraId="3E6CE7E5">
            <w:pPr>
              <w:rPr>
                <w:rFonts w:ascii="Arial"/>
                <w:sz w:val="21"/>
              </w:rPr>
            </w:pPr>
          </w:p>
        </w:tc>
        <w:tc>
          <w:tcPr>
            <w:tcW w:w="839" w:type="dxa"/>
            <w:vAlign w:val="top"/>
          </w:tcPr>
          <w:p w14:paraId="2CECDD3D">
            <w:pPr>
              <w:pStyle w:val="25"/>
              <w:spacing w:before="184" w:line="239" w:lineRule="auto"/>
              <w:ind w:left="257"/>
            </w:pPr>
            <w:r>
              <w:rPr>
                <w:spacing w:val="-3"/>
              </w:rPr>
              <w:t>4.4</w:t>
            </w:r>
          </w:p>
        </w:tc>
        <w:tc>
          <w:tcPr>
            <w:tcW w:w="2158" w:type="dxa"/>
            <w:vAlign w:val="top"/>
          </w:tcPr>
          <w:p w14:paraId="3F497362">
            <w:pPr>
              <w:pStyle w:val="25"/>
              <w:spacing w:before="185" w:line="219" w:lineRule="auto"/>
              <w:ind w:left="199"/>
            </w:pPr>
            <w:r>
              <w:rPr>
                <w:spacing w:val="-1"/>
              </w:rPr>
              <w:t>服务台请求关闭率</w:t>
            </w:r>
          </w:p>
        </w:tc>
        <w:tc>
          <w:tcPr>
            <w:tcW w:w="870" w:type="dxa"/>
            <w:vAlign w:val="top"/>
          </w:tcPr>
          <w:p w14:paraId="46355CEC">
            <w:pPr>
              <w:pStyle w:val="25"/>
              <w:spacing w:before="185" w:line="237" w:lineRule="auto"/>
              <w:ind w:left="187"/>
            </w:pPr>
            <w:r>
              <w:rPr>
                <w:spacing w:val="-8"/>
              </w:rPr>
              <w:t>≥95%</w:t>
            </w:r>
          </w:p>
        </w:tc>
        <w:tc>
          <w:tcPr>
            <w:tcW w:w="1079" w:type="dxa"/>
            <w:vAlign w:val="top"/>
          </w:tcPr>
          <w:p w14:paraId="135F8902">
            <w:pPr>
              <w:pStyle w:val="25"/>
              <w:spacing w:before="185" w:line="219" w:lineRule="auto"/>
              <w:ind w:left="332"/>
            </w:pPr>
            <w:r>
              <w:rPr>
                <w:spacing w:val="-7"/>
              </w:rPr>
              <w:t>月度</w:t>
            </w:r>
          </w:p>
        </w:tc>
        <w:tc>
          <w:tcPr>
            <w:tcW w:w="1079" w:type="dxa"/>
            <w:vAlign w:val="top"/>
          </w:tcPr>
          <w:p w14:paraId="1E7422AB">
            <w:pPr>
              <w:pStyle w:val="25"/>
              <w:spacing w:before="185" w:line="219" w:lineRule="auto"/>
              <w:ind w:left="332"/>
              <w:rPr>
                <w:spacing w:val="-7"/>
              </w:rPr>
            </w:pPr>
            <w:r>
              <w:rPr>
                <w:rFonts w:hint="eastAsia"/>
                <w:spacing w:val="-7"/>
                <w:lang w:val="en-US" w:eastAsia="zh-CN"/>
              </w:rPr>
              <w:t>95%</w:t>
            </w:r>
          </w:p>
        </w:tc>
        <w:tc>
          <w:tcPr>
            <w:tcW w:w="1079" w:type="dxa"/>
            <w:vAlign w:val="top"/>
          </w:tcPr>
          <w:p w14:paraId="41A5BD97">
            <w:pPr>
              <w:pStyle w:val="25"/>
              <w:spacing w:before="185" w:line="219" w:lineRule="auto"/>
              <w:ind w:left="332"/>
              <w:rPr>
                <w:spacing w:val="-7"/>
              </w:rPr>
            </w:pPr>
            <w:r>
              <w:rPr>
                <w:rFonts w:hint="eastAsia"/>
                <w:spacing w:val="-7"/>
                <w:lang w:val="en-US" w:eastAsia="zh-CN"/>
              </w:rPr>
              <w:t>95%</w:t>
            </w:r>
          </w:p>
        </w:tc>
        <w:tc>
          <w:tcPr>
            <w:tcW w:w="1079" w:type="dxa"/>
            <w:vAlign w:val="top"/>
          </w:tcPr>
          <w:p w14:paraId="49EB5BA9">
            <w:pPr>
              <w:pStyle w:val="25"/>
              <w:spacing w:before="185" w:line="219" w:lineRule="auto"/>
              <w:ind w:left="332"/>
              <w:rPr>
                <w:spacing w:val="-7"/>
              </w:rPr>
            </w:pPr>
            <w:r>
              <w:rPr>
                <w:rFonts w:hint="eastAsia"/>
                <w:spacing w:val="-7"/>
                <w:lang w:val="en-US" w:eastAsia="zh-CN"/>
              </w:rPr>
              <w:t>95%</w:t>
            </w:r>
          </w:p>
        </w:tc>
        <w:tc>
          <w:tcPr>
            <w:tcW w:w="1079" w:type="dxa"/>
            <w:vAlign w:val="top"/>
          </w:tcPr>
          <w:p w14:paraId="5F05AE9B">
            <w:pPr>
              <w:pStyle w:val="25"/>
              <w:spacing w:before="185" w:line="219" w:lineRule="auto"/>
              <w:ind w:left="332"/>
              <w:rPr>
                <w:rFonts w:hint="default" w:eastAsia="宋体"/>
                <w:spacing w:val="-7"/>
                <w:lang w:val="en-US" w:eastAsia="zh-CN"/>
              </w:rPr>
            </w:pPr>
            <w:r>
              <w:rPr>
                <w:rFonts w:hint="eastAsia"/>
                <w:spacing w:val="-7"/>
                <w:lang w:val="en-US" w:eastAsia="zh-CN"/>
              </w:rPr>
              <w:t>96.4%</w:t>
            </w:r>
          </w:p>
        </w:tc>
      </w:tr>
      <w:tr w14:paraId="46D41E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7" w:hRule="atLeast"/>
        </w:trPr>
        <w:tc>
          <w:tcPr>
            <w:tcW w:w="640" w:type="dxa"/>
            <w:vMerge w:val="restart"/>
            <w:tcBorders>
              <w:bottom w:val="nil"/>
            </w:tcBorders>
            <w:vAlign w:val="top"/>
          </w:tcPr>
          <w:p w14:paraId="0D1481BB">
            <w:pPr>
              <w:rPr>
                <w:rFonts w:ascii="Arial"/>
                <w:sz w:val="21"/>
              </w:rPr>
            </w:pPr>
          </w:p>
        </w:tc>
        <w:tc>
          <w:tcPr>
            <w:tcW w:w="839" w:type="dxa"/>
            <w:vAlign w:val="top"/>
          </w:tcPr>
          <w:p w14:paraId="683BB881">
            <w:pPr>
              <w:pStyle w:val="25"/>
              <w:spacing w:before="216" w:line="239" w:lineRule="auto"/>
              <w:ind w:left="262"/>
            </w:pPr>
            <w:r>
              <w:rPr>
                <w:spacing w:val="-5"/>
              </w:rPr>
              <w:t>5.1</w:t>
            </w:r>
          </w:p>
        </w:tc>
        <w:tc>
          <w:tcPr>
            <w:tcW w:w="2158" w:type="dxa"/>
            <w:vAlign w:val="top"/>
          </w:tcPr>
          <w:p w14:paraId="1A953641">
            <w:pPr>
              <w:pStyle w:val="25"/>
              <w:spacing w:before="217" w:line="219" w:lineRule="auto"/>
              <w:ind w:left="586"/>
            </w:pPr>
            <w:r>
              <w:rPr>
                <w:spacing w:val="-2"/>
              </w:rPr>
              <w:t>SLA达成率</w:t>
            </w:r>
          </w:p>
        </w:tc>
        <w:tc>
          <w:tcPr>
            <w:tcW w:w="870" w:type="dxa"/>
            <w:vAlign w:val="top"/>
          </w:tcPr>
          <w:p w14:paraId="31178BCD">
            <w:pPr>
              <w:pStyle w:val="25"/>
              <w:spacing w:before="217" w:line="237" w:lineRule="auto"/>
              <w:ind w:left="187"/>
            </w:pPr>
            <w:r>
              <w:rPr>
                <w:spacing w:val="-8"/>
              </w:rPr>
              <w:t>≥95%</w:t>
            </w:r>
          </w:p>
        </w:tc>
        <w:tc>
          <w:tcPr>
            <w:tcW w:w="1079" w:type="dxa"/>
            <w:vAlign w:val="top"/>
          </w:tcPr>
          <w:p w14:paraId="3AD0723E">
            <w:pPr>
              <w:pStyle w:val="25"/>
              <w:spacing w:before="217" w:line="219" w:lineRule="auto"/>
              <w:ind w:left="332"/>
            </w:pPr>
            <w:r>
              <w:rPr>
                <w:spacing w:val="-7"/>
              </w:rPr>
              <w:t>月度</w:t>
            </w:r>
          </w:p>
        </w:tc>
        <w:tc>
          <w:tcPr>
            <w:tcW w:w="1079" w:type="dxa"/>
            <w:vAlign w:val="top"/>
          </w:tcPr>
          <w:p w14:paraId="5C943C0D">
            <w:pPr>
              <w:pStyle w:val="25"/>
              <w:spacing w:before="217" w:line="219" w:lineRule="auto"/>
              <w:ind w:left="332"/>
              <w:rPr>
                <w:rFonts w:hint="default" w:eastAsia="宋体"/>
                <w:spacing w:val="-7"/>
                <w:lang w:val="en-US" w:eastAsia="zh-CN"/>
              </w:rPr>
            </w:pPr>
            <w:r>
              <w:rPr>
                <w:rFonts w:hint="eastAsia"/>
                <w:spacing w:val="-7"/>
                <w:lang w:val="en-US" w:eastAsia="zh-CN"/>
              </w:rPr>
              <w:t>98%</w:t>
            </w:r>
          </w:p>
        </w:tc>
        <w:tc>
          <w:tcPr>
            <w:tcW w:w="1079" w:type="dxa"/>
            <w:vAlign w:val="top"/>
          </w:tcPr>
          <w:p w14:paraId="150FE272">
            <w:pPr>
              <w:pStyle w:val="25"/>
              <w:spacing w:before="217" w:line="219" w:lineRule="auto"/>
              <w:ind w:left="332"/>
              <w:rPr>
                <w:spacing w:val="-7"/>
              </w:rPr>
            </w:pPr>
            <w:r>
              <w:rPr>
                <w:rFonts w:hint="eastAsia"/>
                <w:spacing w:val="-7"/>
                <w:lang w:val="en-US" w:eastAsia="zh-CN"/>
              </w:rPr>
              <w:t>100%</w:t>
            </w:r>
          </w:p>
        </w:tc>
        <w:tc>
          <w:tcPr>
            <w:tcW w:w="1079" w:type="dxa"/>
            <w:vAlign w:val="top"/>
          </w:tcPr>
          <w:p w14:paraId="5108A1CF">
            <w:pPr>
              <w:pStyle w:val="25"/>
              <w:spacing w:before="217" w:line="219" w:lineRule="auto"/>
              <w:ind w:left="332"/>
              <w:rPr>
                <w:spacing w:val="-7"/>
              </w:rPr>
            </w:pPr>
            <w:r>
              <w:rPr>
                <w:rFonts w:hint="eastAsia"/>
                <w:spacing w:val="-7"/>
                <w:lang w:val="en-US" w:eastAsia="zh-CN"/>
              </w:rPr>
              <w:t>100%</w:t>
            </w:r>
          </w:p>
        </w:tc>
        <w:tc>
          <w:tcPr>
            <w:tcW w:w="1079" w:type="dxa"/>
            <w:vAlign w:val="top"/>
          </w:tcPr>
          <w:p w14:paraId="41492EE5">
            <w:pPr>
              <w:pStyle w:val="25"/>
              <w:spacing w:before="217" w:line="219" w:lineRule="auto"/>
              <w:ind w:left="332"/>
              <w:rPr>
                <w:rFonts w:hint="default" w:eastAsia="宋体"/>
                <w:spacing w:val="-7"/>
                <w:lang w:val="en-US" w:eastAsia="zh-CN"/>
              </w:rPr>
            </w:pPr>
            <w:r>
              <w:rPr>
                <w:rFonts w:hint="eastAsia"/>
                <w:spacing w:val="-7"/>
                <w:lang w:val="en-US" w:eastAsia="zh-CN"/>
              </w:rPr>
              <w:t>100%</w:t>
            </w:r>
          </w:p>
        </w:tc>
      </w:tr>
      <w:tr w14:paraId="2E378A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7" w:hRule="atLeast"/>
        </w:trPr>
        <w:tc>
          <w:tcPr>
            <w:tcW w:w="640" w:type="dxa"/>
            <w:vMerge w:val="continue"/>
            <w:tcBorders>
              <w:top w:val="nil"/>
              <w:bottom w:val="nil"/>
            </w:tcBorders>
            <w:vAlign w:val="top"/>
          </w:tcPr>
          <w:p w14:paraId="0305248B">
            <w:pPr>
              <w:rPr>
                <w:rFonts w:ascii="Arial"/>
                <w:sz w:val="21"/>
              </w:rPr>
            </w:pPr>
          </w:p>
        </w:tc>
        <w:tc>
          <w:tcPr>
            <w:tcW w:w="839" w:type="dxa"/>
            <w:vAlign w:val="top"/>
          </w:tcPr>
          <w:p w14:paraId="4F7111EB">
            <w:pPr>
              <w:pStyle w:val="25"/>
              <w:spacing w:before="215" w:line="239" w:lineRule="auto"/>
              <w:ind w:left="262"/>
            </w:pPr>
            <w:r>
              <w:rPr>
                <w:spacing w:val="-5"/>
              </w:rPr>
              <w:t>5.2</w:t>
            </w:r>
          </w:p>
        </w:tc>
        <w:tc>
          <w:tcPr>
            <w:tcW w:w="2158" w:type="dxa"/>
            <w:vAlign w:val="top"/>
          </w:tcPr>
          <w:p w14:paraId="51F6EBC6">
            <w:pPr>
              <w:pStyle w:val="25"/>
              <w:spacing w:before="216" w:line="219" w:lineRule="auto"/>
              <w:ind w:left="478"/>
            </w:pPr>
            <w:r>
              <w:rPr>
                <w:spacing w:val="-2"/>
              </w:rPr>
              <w:t>SLA评审次数</w:t>
            </w:r>
          </w:p>
        </w:tc>
        <w:tc>
          <w:tcPr>
            <w:tcW w:w="870" w:type="dxa"/>
            <w:vAlign w:val="top"/>
          </w:tcPr>
          <w:p w14:paraId="3D7759B7">
            <w:pPr>
              <w:pStyle w:val="25"/>
              <w:spacing w:before="216" w:line="219" w:lineRule="auto"/>
              <w:ind w:left="187"/>
            </w:pPr>
            <w:r>
              <w:rPr>
                <w:spacing w:val="-10"/>
              </w:rPr>
              <w:t>≥1次</w:t>
            </w:r>
          </w:p>
        </w:tc>
        <w:tc>
          <w:tcPr>
            <w:tcW w:w="1079" w:type="dxa"/>
            <w:vAlign w:val="top"/>
          </w:tcPr>
          <w:p w14:paraId="32A04B1B">
            <w:pPr>
              <w:pStyle w:val="25"/>
              <w:spacing w:before="216" w:line="219" w:lineRule="auto"/>
              <w:ind w:left="328"/>
            </w:pPr>
            <w:r>
              <w:rPr>
                <w:spacing w:val="-5"/>
              </w:rPr>
              <w:t>年度</w:t>
            </w:r>
          </w:p>
        </w:tc>
        <w:tc>
          <w:tcPr>
            <w:tcW w:w="1079" w:type="dxa"/>
            <w:vAlign w:val="top"/>
          </w:tcPr>
          <w:p w14:paraId="4E90D362">
            <w:pPr>
              <w:pStyle w:val="25"/>
              <w:spacing w:before="216" w:line="219" w:lineRule="auto"/>
              <w:ind w:left="328"/>
              <w:rPr>
                <w:spacing w:val="-5"/>
              </w:rPr>
            </w:pPr>
            <w:r>
              <w:rPr>
                <w:rFonts w:hint="eastAsia"/>
                <w:spacing w:val="-5"/>
                <w:lang w:val="en-US" w:eastAsia="zh-CN"/>
              </w:rPr>
              <w:t>1次</w:t>
            </w:r>
          </w:p>
        </w:tc>
        <w:tc>
          <w:tcPr>
            <w:tcW w:w="1079" w:type="dxa"/>
            <w:vAlign w:val="top"/>
          </w:tcPr>
          <w:p w14:paraId="0AC492DE">
            <w:pPr>
              <w:pStyle w:val="25"/>
              <w:spacing w:before="216" w:line="219" w:lineRule="auto"/>
              <w:ind w:left="328"/>
              <w:rPr>
                <w:spacing w:val="-5"/>
              </w:rPr>
            </w:pPr>
            <w:r>
              <w:rPr>
                <w:rFonts w:hint="eastAsia"/>
                <w:spacing w:val="-5"/>
                <w:lang w:val="en-US" w:eastAsia="zh-CN"/>
              </w:rPr>
              <w:t>1次</w:t>
            </w:r>
          </w:p>
        </w:tc>
        <w:tc>
          <w:tcPr>
            <w:tcW w:w="1079" w:type="dxa"/>
            <w:vAlign w:val="top"/>
          </w:tcPr>
          <w:p w14:paraId="61CF5921">
            <w:pPr>
              <w:pStyle w:val="25"/>
              <w:spacing w:before="216" w:line="219" w:lineRule="auto"/>
              <w:ind w:left="328"/>
              <w:rPr>
                <w:spacing w:val="-5"/>
              </w:rPr>
            </w:pPr>
            <w:r>
              <w:rPr>
                <w:rFonts w:hint="eastAsia"/>
                <w:spacing w:val="-5"/>
                <w:lang w:val="en-US" w:eastAsia="zh-CN"/>
              </w:rPr>
              <w:t>1次</w:t>
            </w:r>
          </w:p>
        </w:tc>
        <w:tc>
          <w:tcPr>
            <w:tcW w:w="1079" w:type="dxa"/>
            <w:vAlign w:val="top"/>
          </w:tcPr>
          <w:p w14:paraId="3AD5BE7F">
            <w:pPr>
              <w:pStyle w:val="25"/>
              <w:spacing w:before="216" w:line="219" w:lineRule="auto"/>
              <w:ind w:left="328"/>
              <w:rPr>
                <w:rFonts w:hint="default" w:eastAsia="宋体"/>
                <w:spacing w:val="-5"/>
                <w:lang w:val="en-US" w:eastAsia="zh-CN"/>
              </w:rPr>
            </w:pPr>
            <w:r>
              <w:rPr>
                <w:rFonts w:hint="eastAsia"/>
                <w:spacing w:val="-5"/>
                <w:lang w:val="en-US" w:eastAsia="zh-CN"/>
              </w:rPr>
              <w:t>1次</w:t>
            </w:r>
          </w:p>
        </w:tc>
      </w:tr>
      <w:tr w14:paraId="196BE3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7" w:hRule="atLeast"/>
        </w:trPr>
        <w:tc>
          <w:tcPr>
            <w:tcW w:w="640" w:type="dxa"/>
            <w:vMerge w:val="continue"/>
            <w:tcBorders>
              <w:top w:val="nil"/>
              <w:bottom w:val="nil"/>
            </w:tcBorders>
            <w:vAlign w:val="top"/>
          </w:tcPr>
          <w:p w14:paraId="414FEC62">
            <w:pPr>
              <w:rPr>
                <w:rFonts w:ascii="Arial"/>
                <w:sz w:val="21"/>
              </w:rPr>
            </w:pPr>
          </w:p>
        </w:tc>
        <w:tc>
          <w:tcPr>
            <w:tcW w:w="839" w:type="dxa"/>
            <w:vAlign w:val="top"/>
          </w:tcPr>
          <w:p w14:paraId="2E5F42BF">
            <w:pPr>
              <w:pStyle w:val="25"/>
              <w:spacing w:before="219" w:line="239" w:lineRule="auto"/>
              <w:ind w:left="262"/>
            </w:pPr>
            <w:r>
              <w:rPr>
                <w:spacing w:val="-5"/>
              </w:rPr>
              <w:t>5.3</w:t>
            </w:r>
          </w:p>
        </w:tc>
        <w:tc>
          <w:tcPr>
            <w:tcW w:w="2158" w:type="dxa"/>
            <w:vAlign w:val="top"/>
          </w:tcPr>
          <w:p w14:paraId="63F520E9">
            <w:pPr>
              <w:pStyle w:val="25"/>
              <w:spacing w:before="219" w:line="218" w:lineRule="auto"/>
              <w:ind w:left="88"/>
            </w:pPr>
            <w:r>
              <w:rPr>
                <w:spacing w:val="-1"/>
              </w:rPr>
              <w:t>服务报告交付及时率</w:t>
            </w:r>
          </w:p>
        </w:tc>
        <w:tc>
          <w:tcPr>
            <w:tcW w:w="870" w:type="dxa"/>
            <w:vAlign w:val="top"/>
          </w:tcPr>
          <w:p w14:paraId="1F7C861E">
            <w:pPr>
              <w:pStyle w:val="25"/>
              <w:spacing w:before="220" w:line="237" w:lineRule="auto"/>
              <w:ind w:left="187"/>
            </w:pPr>
            <w:r>
              <w:rPr>
                <w:spacing w:val="-8"/>
              </w:rPr>
              <w:t>≥95%</w:t>
            </w:r>
          </w:p>
        </w:tc>
        <w:tc>
          <w:tcPr>
            <w:tcW w:w="1079" w:type="dxa"/>
            <w:vAlign w:val="top"/>
          </w:tcPr>
          <w:p w14:paraId="5F2632B2">
            <w:pPr>
              <w:pStyle w:val="25"/>
              <w:spacing w:before="220" w:line="219" w:lineRule="auto"/>
              <w:ind w:left="328"/>
            </w:pPr>
            <w:r>
              <w:rPr>
                <w:spacing w:val="-5"/>
              </w:rPr>
              <w:t>季度</w:t>
            </w:r>
          </w:p>
        </w:tc>
        <w:tc>
          <w:tcPr>
            <w:tcW w:w="1079" w:type="dxa"/>
            <w:vAlign w:val="top"/>
          </w:tcPr>
          <w:p w14:paraId="401B1A59">
            <w:pPr>
              <w:pStyle w:val="25"/>
              <w:spacing w:before="220" w:line="219" w:lineRule="auto"/>
              <w:ind w:left="328"/>
              <w:rPr>
                <w:spacing w:val="-5"/>
              </w:rPr>
            </w:pPr>
            <w:r>
              <w:rPr>
                <w:rFonts w:hint="eastAsia"/>
                <w:spacing w:val="-5"/>
                <w:lang w:val="en-US" w:eastAsia="zh-CN"/>
              </w:rPr>
              <w:t>100%</w:t>
            </w:r>
          </w:p>
        </w:tc>
        <w:tc>
          <w:tcPr>
            <w:tcW w:w="1079" w:type="dxa"/>
            <w:vAlign w:val="top"/>
          </w:tcPr>
          <w:p w14:paraId="20EE9609">
            <w:pPr>
              <w:pStyle w:val="25"/>
              <w:spacing w:before="220" w:line="219" w:lineRule="auto"/>
              <w:ind w:left="328"/>
              <w:rPr>
                <w:spacing w:val="-5"/>
              </w:rPr>
            </w:pPr>
            <w:r>
              <w:rPr>
                <w:rFonts w:hint="eastAsia"/>
                <w:spacing w:val="-5"/>
                <w:lang w:val="en-US" w:eastAsia="zh-CN"/>
              </w:rPr>
              <w:t>100%</w:t>
            </w:r>
          </w:p>
        </w:tc>
        <w:tc>
          <w:tcPr>
            <w:tcW w:w="1079" w:type="dxa"/>
            <w:vAlign w:val="top"/>
          </w:tcPr>
          <w:p w14:paraId="7F005781">
            <w:pPr>
              <w:pStyle w:val="25"/>
              <w:spacing w:before="220" w:line="219" w:lineRule="auto"/>
              <w:ind w:left="328"/>
              <w:rPr>
                <w:spacing w:val="-5"/>
              </w:rPr>
            </w:pPr>
            <w:r>
              <w:rPr>
                <w:rFonts w:hint="eastAsia"/>
                <w:spacing w:val="-5"/>
                <w:lang w:val="en-US" w:eastAsia="zh-CN"/>
              </w:rPr>
              <w:t>100%</w:t>
            </w:r>
          </w:p>
        </w:tc>
        <w:tc>
          <w:tcPr>
            <w:tcW w:w="1079" w:type="dxa"/>
            <w:vAlign w:val="top"/>
          </w:tcPr>
          <w:p w14:paraId="11DFFD7B">
            <w:pPr>
              <w:pStyle w:val="25"/>
              <w:spacing w:before="220" w:line="219" w:lineRule="auto"/>
              <w:ind w:left="328"/>
              <w:rPr>
                <w:rFonts w:hint="default" w:eastAsia="宋体"/>
                <w:spacing w:val="-5"/>
                <w:lang w:val="en-US" w:eastAsia="zh-CN"/>
              </w:rPr>
            </w:pPr>
            <w:r>
              <w:rPr>
                <w:rFonts w:hint="eastAsia"/>
                <w:spacing w:val="-5"/>
                <w:lang w:val="en-US" w:eastAsia="zh-CN"/>
              </w:rPr>
              <w:t>100%</w:t>
            </w:r>
          </w:p>
        </w:tc>
      </w:tr>
      <w:tr w14:paraId="5EE2B1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640" w:type="dxa"/>
            <w:vMerge w:val="continue"/>
            <w:tcBorders>
              <w:top w:val="nil"/>
              <w:bottom w:val="nil"/>
            </w:tcBorders>
            <w:vAlign w:val="top"/>
          </w:tcPr>
          <w:p w14:paraId="1964C55B">
            <w:pPr>
              <w:rPr>
                <w:rFonts w:ascii="Arial"/>
                <w:sz w:val="21"/>
              </w:rPr>
            </w:pPr>
          </w:p>
        </w:tc>
        <w:tc>
          <w:tcPr>
            <w:tcW w:w="839" w:type="dxa"/>
            <w:vAlign w:val="top"/>
          </w:tcPr>
          <w:p w14:paraId="7A9EB7A9">
            <w:pPr>
              <w:pStyle w:val="25"/>
              <w:spacing w:before="218" w:line="239" w:lineRule="auto"/>
              <w:ind w:left="262"/>
            </w:pPr>
            <w:r>
              <w:rPr>
                <w:spacing w:val="-5"/>
              </w:rPr>
              <w:t>5.4</w:t>
            </w:r>
          </w:p>
        </w:tc>
        <w:tc>
          <w:tcPr>
            <w:tcW w:w="2158" w:type="dxa"/>
            <w:vAlign w:val="top"/>
          </w:tcPr>
          <w:p w14:paraId="65A07565">
            <w:pPr>
              <w:pStyle w:val="25"/>
              <w:spacing w:before="219" w:line="219" w:lineRule="auto"/>
              <w:ind w:left="530"/>
            </w:pPr>
            <w:r>
              <w:rPr>
                <w:spacing w:val="-1"/>
              </w:rPr>
              <w:t>事件解决率</w:t>
            </w:r>
          </w:p>
        </w:tc>
        <w:tc>
          <w:tcPr>
            <w:tcW w:w="870" w:type="dxa"/>
            <w:vAlign w:val="top"/>
          </w:tcPr>
          <w:p w14:paraId="57A73823">
            <w:pPr>
              <w:pStyle w:val="25"/>
              <w:spacing w:before="219" w:line="237" w:lineRule="auto"/>
              <w:ind w:left="187"/>
            </w:pPr>
            <w:r>
              <w:rPr>
                <w:spacing w:val="-8"/>
              </w:rPr>
              <w:t>≥95%</w:t>
            </w:r>
          </w:p>
        </w:tc>
        <w:tc>
          <w:tcPr>
            <w:tcW w:w="1079" w:type="dxa"/>
            <w:vAlign w:val="top"/>
          </w:tcPr>
          <w:p w14:paraId="2B60ACC2">
            <w:pPr>
              <w:pStyle w:val="25"/>
              <w:spacing w:before="219" w:line="219" w:lineRule="auto"/>
              <w:ind w:left="328"/>
            </w:pPr>
            <w:r>
              <w:rPr>
                <w:spacing w:val="-5"/>
              </w:rPr>
              <w:t>季度</w:t>
            </w:r>
          </w:p>
        </w:tc>
        <w:tc>
          <w:tcPr>
            <w:tcW w:w="1079" w:type="dxa"/>
            <w:vAlign w:val="top"/>
          </w:tcPr>
          <w:p w14:paraId="40FE162A">
            <w:pPr>
              <w:pStyle w:val="25"/>
              <w:spacing w:before="219" w:line="219" w:lineRule="auto"/>
              <w:ind w:left="328"/>
              <w:rPr>
                <w:spacing w:val="-5"/>
              </w:rPr>
            </w:pPr>
            <w:r>
              <w:rPr>
                <w:spacing w:val="-8"/>
              </w:rPr>
              <w:t>95%</w:t>
            </w:r>
          </w:p>
        </w:tc>
        <w:tc>
          <w:tcPr>
            <w:tcW w:w="1079" w:type="dxa"/>
            <w:vAlign w:val="top"/>
          </w:tcPr>
          <w:p w14:paraId="004541A0">
            <w:pPr>
              <w:pStyle w:val="25"/>
              <w:spacing w:before="219" w:line="219" w:lineRule="auto"/>
              <w:ind w:left="328"/>
              <w:rPr>
                <w:spacing w:val="-5"/>
              </w:rPr>
            </w:pPr>
            <w:r>
              <w:rPr>
                <w:spacing w:val="-8"/>
              </w:rPr>
              <w:t>95%</w:t>
            </w:r>
          </w:p>
        </w:tc>
        <w:tc>
          <w:tcPr>
            <w:tcW w:w="1079" w:type="dxa"/>
            <w:vAlign w:val="top"/>
          </w:tcPr>
          <w:p w14:paraId="6691E4BA">
            <w:pPr>
              <w:pStyle w:val="25"/>
              <w:spacing w:before="219" w:line="219" w:lineRule="auto"/>
              <w:ind w:left="328"/>
              <w:rPr>
                <w:spacing w:val="-5"/>
              </w:rPr>
            </w:pPr>
            <w:r>
              <w:rPr>
                <w:spacing w:val="-8"/>
              </w:rPr>
              <w:t>95%</w:t>
            </w:r>
          </w:p>
        </w:tc>
        <w:tc>
          <w:tcPr>
            <w:tcW w:w="1079" w:type="dxa"/>
            <w:vAlign w:val="top"/>
          </w:tcPr>
          <w:p w14:paraId="683A678F">
            <w:pPr>
              <w:pStyle w:val="25"/>
              <w:spacing w:before="219" w:line="219" w:lineRule="auto"/>
              <w:ind w:left="328"/>
              <w:rPr>
                <w:rFonts w:hint="default" w:eastAsia="宋体"/>
                <w:spacing w:val="-5"/>
                <w:lang w:val="en-US" w:eastAsia="zh-CN"/>
              </w:rPr>
            </w:pPr>
            <w:r>
              <w:rPr>
                <w:rFonts w:hint="eastAsia"/>
                <w:spacing w:val="-5"/>
                <w:lang w:val="en-US" w:eastAsia="zh-CN"/>
              </w:rPr>
              <w:t>96%</w:t>
            </w:r>
          </w:p>
        </w:tc>
      </w:tr>
      <w:tr w14:paraId="762618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640" w:type="dxa"/>
            <w:tcBorders>
              <w:top w:val="nil"/>
              <w:bottom w:val="nil"/>
            </w:tcBorders>
            <w:vAlign w:val="top"/>
          </w:tcPr>
          <w:p w14:paraId="409FDC68">
            <w:pPr>
              <w:rPr>
                <w:rFonts w:ascii="Arial"/>
                <w:sz w:val="21"/>
              </w:rPr>
            </w:pPr>
          </w:p>
        </w:tc>
        <w:tc>
          <w:tcPr>
            <w:tcW w:w="839" w:type="dxa"/>
            <w:shd w:val="clear"/>
            <w:vAlign w:val="top"/>
          </w:tcPr>
          <w:p w14:paraId="381A9FFD">
            <w:pPr>
              <w:pStyle w:val="25"/>
              <w:spacing w:before="216" w:line="239" w:lineRule="auto"/>
              <w:ind w:left="262" w:leftChars="0"/>
              <w:rPr>
                <w:rFonts w:ascii="宋体" w:hAnsi="宋体" w:eastAsia="宋体" w:cs="宋体"/>
                <w:snapToGrid w:val="0"/>
                <w:color w:val="000000"/>
                <w:kern w:val="0"/>
                <w:sz w:val="21"/>
                <w:szCs w:val="21"/>
                <w:lang w:val="en-US" w:eastAsia="en-US" w:bidi="ar-SA"/>
              </w:rPr>
            </w:pPr>
            <w:r>
              <w:rPr>
                <w:spacing w:val="-5"/>
              </w:rPr>
              <w:t>5.5</w:t>
            </w:r>
          </w:p>
        </w:tc>
        <w:tc>
          <w:tcPr>
            <w:tcW w:w="2158" w:type="dxa"/>
            <w:shd w:val="clear"/>
            <w:vAlign w:val="top"/>
          </w:tcPr>
          <w:p w14:paraId="42C71EB9">
            <w:pPr>
              <w:pStyle w:val="25"/>
              <w:spacing w:before="217" w:line="219" w:lineRule="auto"/>
              <w:ind w:left="88" w:leftChars="0"/>
              <w:rPr>
                <w:rFonts w:ascii="宋体" w:hAnsi="宋体" w:eastAsia="宋体" w:cs="宋体"/>
                <w:snapToGrid w:val="0"/>
                <w:color w:val="000000"/>
                <w:kern w:val="0"/>
                <w:sz w:val="21"/>
                <w:szCs w:val="21"/>
                <w:lang w:val="en-US" w:eastAsia="en-US" w:bidi="ar-SA"/>
              </w:rPr>
            </w:pPr>
            <w:r>
              <w:rPr>
                <w:spacing w:val="-1"/>
              </w:rPr>
              <w:t>事件解决用户满意度</w:t>
            </w:r>
          </w:p>
        </w:tc>
        <w:tc>
          <w:tcPr>
            <w:tcW w:w="870" w:type="dxa"/>
            <w:shd w:val="clear"/>
            <w:vAlign w:val="top"/>
          </w:tcPr>
          <w:p w14:paraId="704B8DEA">
            <w:pPr>
              <w:pStyle w:val="25"/>
              <w:spacing w:before="217" w:line="237" w:lineRule="auto"/>
              <w:ind w:left="187" w:leftChars="0"/>
              <w:rPr>
                <w:rFonts w:ascii="宋体" w:hAnsi="宋体" w:eastAsia="宋体" w:cs="宋体"/>
                <w:snapToGrid w:val="0"/>
                <w:color w:val="000000"/>
                <w:kern w:val="0"/>
                <w:sz w:val="21"/>
                <w:szCs w:val="21"/>
                <w:lang w:val="en-US" w:eastAsia="en-US" w:bidi="ar-SA"/>
              </w:rPr>
            </w:pPr>
            <w:r>
              <w:rPr>
                <w:spacing w:val="-8"/>
              </w:rPr>
              <w:t>≥90%</w:t>
            </w:r>
          </w:p>
        </w:tc>
        <w:tc>
          <w:tcPr>
            <w:tcW w:w="1079" w:type="dxa"/>
            <w:shd w:val="clear"/>
            <w:vAlign w:val="top"/>
          </w:tcPr>
          <w:p w14:paraId="3BC6AFD1">
            <w:pPr>
              <w:pStyle w:val="25"/>
              <w:spacing w:before="217" w:line="219" w:lineRule="auto"/>
              <w:ind w:left="332" w:leftChars="0"/>
              <w:rPr>
                <w:rFonts w:ascii="宋体" w:hAnsi="宋体" w:eastAsia="宋体" w:cs="宋体"/>
                <w:snapToGrid w:val="0"/>
                <w:color w:val="000000"/>
                <w:kern w:val="0"/>
                <w:sz w:val="21"/>
                <w:szCs w:val="21"/>
                <w:lang w:val="en-US" w:eastAsia="en-US" w:bidi="ar-SA"/>
              </w:rPr>
            </w:pPr>
            <w:r>
              <w:rPr>
                <w:spacing w:val="-7"/>
              </w:rPr>
              <w:t>月度</w:t>
            </w:r>
          </w:p>
        </w:tc>
        <w:tc>
          <w:tcPr>
            <w:tcW w:w="1079" w:type="dxa"/>
            <w:shd w:val="clear"/>
            <w:vAlign w:val="top"/>
          </w:tcPr>
          <w:p w14:paraId="5F0C3586">
            <w:pPr>
              <w:pStyle w:val="25"/>
              <w:spacing w:before="217" w:line="219" w:lineRule="auto"/>
              <w:ind w:left="332" w:leftChars="0"/>
              <w:rPr>
                <w:spacing w:val="-7"/>
              </w:rPr>
            </w:pPr>
            <w:r>
              <w:rPr>
                <w:spacing w:val="-8"/>
              </w:rPr>
              <w:t>9</w:t>
            </w:r>
            <w:r>
              <w:rPr>
                <w:rFonts w:hint="eastAsia"/>
                <w:spacing w:val="-8"/>
                <w:lang w:val="en-US" w:eastAsia="zh-CN"/>
              </w:rPr>
              <w:t>2</w:t>
            </w:r>
            <w:r>
              <w:rPr>
                <w:spacing w:val="-8"/>
              </w:rPr>
              <w:t>%</w:t>
            </w:r>
          </w:p>
        </w:tc>
        <w:tc>
          <w:tcPr>
            <w:tcW w:w="1079" w:type="dxa"/>
            <w:shd w:val="clear"/>
            <w:vAlign w:val="top"/>
          </w:tcPr>
          <w:p w14:paraId="660C321A">
            <w:pPr>
              <w:pStyle w:val="25"/>
              <w:spacing w:before="217" w:line="219" w:lineRule="auto"/>
              <w:ind w:left="332" w:leftChars="0"/>
              <w:rPr>
                <w:spacing w:val="-7"/>
              </w:rPr>
            </w:pPr>
            <w:r>
              <w:rPr>
                <w:spacing w:val="-8"/>
              </w:rPr>
              <w:t>9</w:t>
            </w:r>
            <w:r>
              <w:rPr>
                <w:rFonts w:hint="eastAsia"/>
                <w:spacing w:val="-8"/>
                <w:lang w:val="en-US" w:eastAsia="zh-CN"/>
              </w:rPr>
              <w:t>4</w:t>
            </w:r>
            <w:r>
              <w:rPr>
                <w:spacing w:val="-8"/>
              </w:rPr>
              <w:t>%</w:t>
            </w:r>
          </w:p>
        </w:tc>
        <w:tc>
          <w:tcPr>
            <w:tcW w:w="1079" w:type="dxa"/>
            <w:shd w:val="clear"/>
            <w:vAlign w:val="top"/>
          </w:tcPr>
          <w:p w14:paraId="1201B84D">
            <w:pPr>
              <w:pStyle w:val="25"/>
              <w:spacing w:before="217" w:line="219" w:lineRule="auto"/>
              <w:ind w:left="332" w:leftChars="0"/>
              <w:rPr>
                <w:spacing w:val="-7"/>
              </w:rPr>
            </w:pPr>
            <w:r>
              <w:rPr>
                <w:spacing w:val="-8"/>
              </w:rPr>
              <w:t>9</w:t>
            </w:r>
            <w:r>
              <w:rPr>
                <w:rFonts w:hint="eastAsia"/>
                <w:spacing w:val="-8"/>
                <w:lang w:val="en-US" w:eastAsia="zh-CN"/>
              </w:rPr>
              <w:t>5</w:t>
            </w:r>
            <w:r>
              <w:rPr>
                <w:spacing w:val="-8"/>
              </w:rPr>
              <w:t>%</w:t>
            </w:r>
          </w:p>
        </w:tc>
        <w:tc>
          <w:tcPr>
            <w:tcW w:w="1079" w:type="dxa"/>
            <w:shd w:val="clear"/>
            <w:vAlign w:val="top"/>
          </w:tcPr>
          <w:p w14:paraId="32A3FD86">
            <w:pPr>
              <w:pStyle w:val="25"/>
              <w:spacing w:before="217" w:line="219" w:lineRule="auto"/>
              <w:ind w:left="332" w:leftChars="0"/>
              <w:rPr>
                <w:rFonts w:hint="default" w:eastAsia="宋体"/>
                <w:spacing w:val="-7"/>
                <w:lang w:val="en-US" w:eastAsia="zh-CN"/>
              </w:rPr>
            </w:pPr>
            <w:r>
              <w:rPr>
                <w:rFonts w:hint="eastAsia"/>
                <w:spacing w:val="-7"/>
                <w:lang w:val="en-US" w:eastAsia="zh-CN"/>
              </w:rPr>
              <w:t>100%</w:t>
            </w:r>
          </w:p>
        </w:tc>
      </w:tr>
      <w:tr w14:paraId="7510B5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640" w:type="dxa"/>
          </w:tcPr>
          <w:p w14:paraId="606CF8E8">
            <w:pPr>
              <w:rPr>
                <w:rFonts w:ascii="Arial"/>
                <w:sz w:val="21"/>
              </w:rPr>
            </w:pPr>
          </w:p>
        </w:tc>
        <w:tc>
          <w:tcPr>
            <w:tcW w:w="839" w:type="dxa"/>
            <w:shd w:val="clear"/>
            <w:vAlign w:val="top"/>
          </w:tcPr>
          <w:p w14:paraId="2A2B63E6">
            <w:pPr>
              <w:pStyle w:val="25"/>
              <w:spacing w:before="209" w:line="239" w:lineRule="auto"/>
              <w:ind w:left="262" w:leftChars="0"/>
              <w:rPr>
                <w:rFonts w:ascii="宋体" w:hAnsi="宋体" w:eastAsia="宋体" w:cs="宋体"/>
                <w:snapToGrid w:val="0"/>
                <w:color w:val="000000"/>
                <w:kern w:val="0"/>
                <w:sz w:val="21"/>
                <w:szCs w:val="21"/>
                <w:lang w:val="en-US" w:eastAsia="en-US" w:bidi="ar-SA"/>
              </w:rPr>
            </w:pPr>
            <w:r>
              <w:rPr>
                <w:spacing w:val="-5"/>
              </w:rPr>
              <w:t>5.6</w:t>
            </w:r>
          </w:p>
        </w:tc>
        <w:tc>
          <w:tcPr>
            <w:tcW w:w="2158" w:type="dxa"/>
            <w:shd w:val="clear"/>
            <w:vAlign w:val="top"/>
          </w:tcPr>
          <w:p w14:paraId="6A431535">
            <w:pPr>
              <w:pStyle w:val="25"/>
              <w:spacing w:before="210" w:line="219" w:lineRule="auto"/>
              <w:ind w:left="224" w:leftChars="0"/>
              <w:rPr>
                <w:rFonts w:ascii="宋体" w:hAnsi="宋体" w:eastAsia="宋体" w:cs="宋体"/>
                <w:snapToGrid w:val="0"/>
                <w:color w:val="000000"/>
                <w:kern w:val="0"/>
                <w:sz w:val="21"/>
                <w:szCs w:val="21"/>
                <w:lang w:val="en-US" w:eastAsia="en-US" w:bidi="ar-SA"/>
              </w:rPr>
            </w:pPr>
            <w:r>
              <w:rPr>
                <w:spacing w:val="-4"/>
              </w:rPr>
              <w:t>问题转知识的比率</w:t>
            </w:r>
          </w:p>
        </w:tc>
        <w:tc>
          <w:tcPr>
            <w:tcW w:w="870" w:type="dxa"/>
            <w:shd w:val="clear"/>
            <w:vAlign w:val="top"/>
          </w:tcPr>
          <w:p w14:paraId="7BE02034">
            <w:pPr>
              <w:pStyle w:val="25"/>
              <w:spacing w:before="210" w:line="237" w:lineRule="auto"/>
              <w:ind w:left="187" w:leftChars="0"/>
              <w:rPr>
                <w:rFonts w:ascii="宋体" w:hAnsi="宋体" w:eastAsia="宋体" w:cs="宋体"/>
                <w:snapToGrid w:val="0"/>
                <w:color w:val="000000"/>
                <w:kern w:val="0"/>
                <w:sz w:val="21"/>
                <w:szCs w:val="21"/>
                <w:lang w:val="en-US" w:eastAsia="en-US" w:bidi="ar-SA"/>
              </w:rPr>
            </w:pPr>
            <w:r>
              <w:rPr>
                <w:spacing w:val="-8"/>
              </w:rPr>
              <w:t>≥90%</w:t>
            </w:r>
          </w:p>
        </w:tc>
        <w:tc>
          <w:tcPr>
            <w:tcW w:w="1079" w:type="dxa"/>
            <w:shd w:val="clear"/>
            <w:vAlign w:val="top"/>
          </w:tcPr>
          <w:p w14:paraId="1CCB96B0">
            <w:pPr>
              <w:pStyle w:val="25"/>
              <w:spacing w:before="210" w:line="219" w:lineRule="auto"/>
              <w:ind w:left="328" w:leftChars="0"/>
              <w:rPr>
                <w:rFonts w:ascii="宋体" w:hAnsi="宋体" w:eastAsia="宋体" w:cs="宋体"/>
                <w:snapToGrid w:val="0"/>
                <w:color w:val="000000"/>
                <w:kern w:val="0"/>
                <w:sz w:val="21"/>
                <w:szCs w:val="21"/>
                <w:lang w:val="en-US" w:eastAsia="en-US" w:bidi="ar-SA"/>
              </w:rPr>
            </w:pPr>
            <w:r>
              <w:rPr>
                <w:spacing w:val="-5"/>
              </w:rPr>
              <w:t>季度</w:t>
            </w:r>
          </w:p>
        </w:tc>
        <w:tc>
          <w:tcPr>
            <w:tcW w:w="1079" w:type="dxa"/>
            <w:shd w:val="clear"/>
            <w:vAlign w:val="top"/>
          </w:tcPr>
          <w:p w14:paraId="25FBBF6E">
            <w:pPr>
              <w:pStyle w:val="25"/>
              <w:spacing w:before="210" w:line="219" w:lineRule="auto"/>
              <w:ind w:left="328" w:leftChars="0"/>
              <w:rPr>
                <w:spacing w:val="-5"/>
              </w:rPr>
            </w:pPr>
            <w:r>
              <w:rPr>
                <w:spacing w:val="-8"/>
              </w:rPr>
              <w:t>90%</w:t>
            </w:r>
          </w:p>
        </w:tc>
        <w:tc>
          <w:tcPr>
            <w:tcW w:w="1079" w:type="dxa"/>
            <w:shd w:val="clear"/>
            <w:vAlign w:val="top"/>
          </w:tcPr>
          <w:p w14:paraId="5820E208">
            <w:pPr>
              <w:pStyle w:val="25"/>
              <w:spacing w:before="210" w:line="219" w:lineRule="auto"/>
              <w:ind w:left="328" w:leftChars="0"/>
              <w:rPr>
                <w:spacing w:val="-5"/>
              </w:rPr>
            </w:pPr>
            <w:r>
              <w:rPr>
                <w:spacing w:val="-8"/>
              </w:rPr>
              <w:t>90%</w:t>
            </w:r>
          </w:p>
        </w:tc>
        <w:tc>
          <w:tcPr>
            <w:tcW w:w="1079" w:type="dxa"/>
            <w:shd w:val="clear"/>
            <w:vAlign w:val="top"/>
          </w:tcPr>
          <w:p w14:paraId="5AF3AA36">
            <w:pPr>
              <w:pStyle w:val="25"/>
              <w:spacing w:before="210" w:line="219" w:lineRule="auto"/>
              <w:ind w:left="328" w:leftChars="0"/>
              <w:rPr>
                <w:spacing w:val="-5"/>
              </w:rPr>
            </w:pPr>
            <w:r>
              <w:rPr>
                <w:spacing w:val="-8"/>
              </w:rPr>
              <w:t>90%</w:t>
            </w:r>
          </w:p>
        </w:tc>
        <w:tc>
          <w:tcPr>
            <w:tcW w:w="1079" w:type="dxa"/>
            <w:shd w:val="clear"/>
            <w:vAlign w:val="top"/>
          </w:tcPr>
          <w:p w14:paraId="1C51BA5E">
            <w:pPr>
              <w:pStyle w:val="25"/>
              <w:spacing w:before="210" w:line="219" w:lineRule="auto"/>
              <w:ind w:left="328" w:leftChars="0"/>
              <w:rPr>
                <w:rFonts w:hint="default" w:eastAsia="宋体"/>
                <w:spacing w:val="-5"/>
                <w:lang w:val="en-US" w:eastAsia="zh-CN"/>
              </w:rPr>
            </w:pPr>
            <w:r>
              <w:rPr>
                <w:rFonts w:hint="eastAsia"/>
                <w:spacing w:val="-5"/>
                <w:lang w:val="en-US" w:eastAsia="zh-CN"/>
              </w:rPr>
              <w:t>92%</w:t>
            </w:r>
          </w:p>
        </w:tc>
      </w:tr>
      <w:tr w14:paraId="1DF36E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640" w:type="dxa"/>
          </w:tcPr>
          <w:p w14:paraId="039ABE4F">
            <w:pPr>
              <w:rPr>
                <w:rFonts w:ascii="Arial"/>
                <w:sz w:val="21"/>
              </w:rPr>
            </w:pPr>
          </w:p>
        </w:tc>
        <w:tc>
          <w:tcPr>
            <w:tcW w:w="839" w:type="dxa"/>
            <w:shd w:val="clear"/>
            <w:vAlign w:val="top"/>
          </w:tcPr>
          <w:p w14:paraId="73DCA60D">
            <w:pPr>
              <w:pStyle w:val="25"/>
              <w:spacing w:before="208" w:line="239" w:lineRule="auto"/>
              <w:ind w:left="262" w:leftChars="0"/>
              <w:rPr>
                <w:rFonts w:ascii="宋体" w:hAnsi="宋体" w:eastAsia="宋体" w:cs="宋体"/>
                <w:snapToGrid w:val="0"/>
                <w:color w:val="000000"/>
                <w:kern w:val="0"/>
                <w:sz w:val="21"/>
                <w:szCs w:val="21"/>
                <w:lang w:val="en-US" w:eastAsia="en-US" w:bidi="ar-SA"/>
              </w:rPr>
            </w:pPr>
            <w:r>
              <w:rPr>
                <w:spacing w:val="-5"/>
              </w:rPr>
              <w:t>5.7</w:t>
            </w:r>
          </w:p>
        </w:tc>
        <w:tc>
          <w:tcPr>
            <w:tcW w:w="2158" w:type="dxa"/>
            <w:shd w:val="clear"/>
            <w:vAlign w:val="top"/>
          </w:tcPr>
          <w:p w14:paraId="574CCDC6">
            <w:pPr>
              <w:pStyle w:val="25"/>
              <w:spacing w:before="209" w:line="219" w:lineRule="auto"/>
              <w:ind w:left="334" w:leftChars="0"/>
              <w:rPr>
                <w:rFonts w:ascii="宋体" w:hAnsi="宋体" w:eastAsia="宋体" w:cs="宋体"/>
                <w:snapToGrid w:val="0"/>
                <w:color w:val="000000"/>
                <w:kern w:val="0"/>
                <w:sz w:val="21"/>
                <w:szCs w:val="21"/>
                <w:lang w:val="en-US" w:eastAsia="en-US" w:bidi="ar-SA"/>
              </w:rPr>
            </w:pPr>
            <w:r>
              <w:rPr>
                <w:spacing w:val="-4"/>
              </w:rPr>
              <w:t>问题成功解决率</w:t>
            </w:r>
          </w:p>
        </w:tc>
        <w:tc>
          <w:tcPr>
            <w:tcW w:w="870" w:type="dxa"/>
            <w:shd w:val="clear"/>
            <w:vAlign w:val="top"/>
          </w:tcPr>
          <w:p w14:paraId="6784316B">
            <w:pPr>
              <w:pStyle w:val="25"/>
              <w:spacing w:before="209" w:line="237" w:lineRule="auto"/>
              <w:ind w:left="187" w:leftChars="0"/>
              <w:rPr>
                <w:rFonts w:ascii="宋体" w:hAnsi="宋体" w:eastAsia="宋体" w:cs="宋体"/>
                <w:snapToGrid w:val="0"/>
                <w:color w:val="000000"/>
                <w:kern w:val="0"/>
                <w:sz w:val="21"/>
                <w:szCs w:val="21"/>
                <w:lang w:val="en-US" w:eastAsia="en-US" w:bidi="ar-SA"/>
              </w:rPr>
            </w:pPr>
            <w:r>
              <w:rPr>
                <w:spacing w:val="-8"/>
              </w:rPr>
              <w:t>≥90%</w:t>
            </w:r>
          </w:p>
        </w:tc>
        <w:tc>
          <w:tcPr>
            <w:tcW w:w="1079" w:type="dxa"/>
            <w:shd w:val="clear"/>
            <w:vAlign w:val="top"/>
          </w:tcPr>
          <w:p w14:paraId="215131DC">
            <w:pPr>
              <w:pStyle w:val="25"/>
              <w:spacing w:before="209" w:line="219" w:lineRule="auto"/>
              <w:ind w:left="328" w:leftChars="0"/>
              <w:rPr>
                <w:rFonts w:ascii="宋体" w:hAnsi="宋体" w:eastAsia="宋体" w:cs="宋体"/>
                <w:snapToGrid w:val="0"/>
                <w:color w:val="000000"/>
                <w:kern w:val="0"/>
                <w:sz w:val="21"/>
                <w:szCs w:val="21"/>
                <w:lang w:val="en-US" w:eastAsia="en-US" w:bidi="ar-SA"/>
              </w:rPr>
            </w:pPr>
            <w:r>
              <w:rPr>
                <w:spacing w:val="-5"/>
              </w:rPr>
              <w:t>季度</w:t>
            </w:r>
          </w:p>
        </w:tc>
        <w:tc>
          <w:tcPr>
            <w:tcW w:w="1079" w:type="dxa"/>
            <w:shd w:val="clear"/>
            <w:vAlign w:val="top"/>
          </w:tcPr>
          <w:p w14:paraId="422031D1">
            <w:pPr>
              <w:pStyle w:val="25"/>
              <w:spacing w:before="209" w:line="219" w:lineRule="auto"/>
              <w:ind w:left="328" w:leftChars="0"/>
              <w:rPr>
                <w:spacing w:val="-5"/>
              </w:rPr>
            </w:pPr>
            <w:r>
              <w:rPr>
                <w:spacing w:val="-8"/>
              </w:rPr>
              <w:t>90%</w:t>
            </w:r>
          </w:p>
        </w:tc>
        <w:tc>
          <w:tcPr>
            <w:tcW w:w="1079" w:type="dxa"/>
            <w:shd w:val="clear"/>
            <w:vAlign w:val="top"/>
          </w:tcPr>
          <w:p w14:paraId="0BB2A01F">
            <w:pPr>
              <w:pStyle w:val="25"/>
              <w:spacing w:before="209" w:line="219" w:lineRule="auto"/>
              <w:ind w:left="328" w:leftChars="0"/>
              <w:rPr>
                <w:spacing w:val="-5"/>
              </w:rPr>
            </w:pPr>
            <w:r>
              <w:rPr>
                <w:spacing w:val="-8"/>
              </w:rPr>
              <w:t>90%</w:t>
            </w:r>
          </w:p>
        </w:tc>
        <w:tc>
          <w:tcPr>
            <w:tcW w:w="1079" w:type="dxa"/>
            <w:shd w:val="clear"/>
            <w:vAlign w:val="top"/>
          </w:tcPr>
          <w:p w14:paraId="147205FC">
            <w:pPr>
              <w:pStyle w:val="25"/>
              <w:spacing w:before="209" w:line="219" w:lineRule="auto"/>
              <w:ind w:left="328" w:leftChars="0"/>
              <w:rPr>
                <w:spacing w:val="-5"/>
              </w:rPr>
            </w:pPr>
            <w:r>
              <w:rPr>
                <w:spacing w:val="-8"/>
              </w:rPr>
              <w:t>9</w:t>
            </w:r>
            <w:r>
              <w:rPr>
                <w:rFonts w:hint="eastAsia"/>
                <w:spacing w:val="-8"/>
                <w:lang w:val="en-US" w:eastAsia="zh-CN"/>
              </w:rPr>
              <w:t>1</w:t>
            </w:r>
            <w:r>
              <w:rPr>
                <w:spacing w:val="-8"/>
              </w:rPr>
              <w:t>%</w:t>
            </w:r>
          </w:p>
        </w:tc>
        <w:tc>
          <w:tcPr>
            <w:tcW w:w="1079" w:type="dxa"/>
            <w:shd w:val="clear"/>
            <w:vAlign w:val="top"/>
          </w:tcPr>
          <w:p w14:paraId="4D768D71">
            <w:pPr>
              <w:pStyle w:val="25"/>
              <w:spacing w:before="209" w:line="219" w:lineRule="auto"/>
              <w:ind w:left="328" w:leftChars="0"/>
              <w:rPr>
                <w:rFonts w:hint="default" w:eastAsia="宋体"/>
                <w:spacing w:val="-5"/>
                <w:lang w:val="en-US" w:eastAsia="zh-CN"/>
              </w:rPr>
            </w:pPr>
            <w:r>
              <w:rPr>
                <w:rFonts w:hint="eastAsia"/>
                <w:spacing w:val="-5"/>
                <w:lang w:val="en-US" w:eastAsia="zh-CN"/>
              </w:rPr>
              <w:t>92%</w:t>
            </w:r>
          </w:p>
        </w:tc>
      </w:tr>
      <w:tr w14:paraId="708CF3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640" w:type="dxa"/>
          </w:tcPr>
          <w:p w14:paraId="26BED29A">
            <w:pPr>
              <w:rPr>
                <w:rFonts w:ascii="Arial"/>
                <w:sz w:val="21"/>
              </w:rPr>
            </w:pPr>
          </w:p>
        </w:tc>
        <w:tc>
          <w:tcPr>
            <w:tcW w:w="839" w:type="dxa"/>
            <w:shd w:val="clear"/>
            <w:vAlign w:val="top"/>
          </w:tcPr>
          <w:p w14:paraId="513B6D7E">
            <w:pPr>
              <w:pStyle w:val="25"/>
              <w:spacing w:before="213" w:line="239" w:lineRule="auto"/>
              <w:ind w:left="262" w:leftChars="0"/>
              <w:rPr>
                <w:rFonts w:ascii="宋体" w:hAnsi="宋体" w:eastAsia="宋体" w:cs="宋体"/>
                <w:snapToGrid w:val="0"/>
                <w:color w:val="000000"/>
                <w:kern w:val="0"/>
                <w:sz w:val="21"/>
                <w:szCs w:val="21"/>
                <w:lang w:val="en-US" w:eastAsia="en-US" w:bidi="ar-SA"/>
              </w:rPr>
            </w:pPr>
            <w:r>
              <w:rPr>
                <w:spacing w:val="-5"/>
              </w:rPr>
              <w:t>5.8</w:t>
            </w:r>
          </w:p>
        </w:tc>
        <w:tc>
          <w:tcPr>
            <w:tcW w:w="2158" w:type="dxa"/>
            <w:shd w:val="clear"/>
            <w:vAlign w:val="top"/>
          </w:tcPr>
          <w:p w14:paraId="7D66F831">
            <w:pPr>
              <w:pStyle w:val="25"/>
              <w:spacing w:before="214" w:line="219" w:lineRule="auto"/>
              <w:ind w:left="199" w:leftChars="0"/>
              <w:rPr>
                <w:rFonts w:ascii="宋体" w:hAnsi="宋体" w:eastAsia="宋体" w:cs="宋体"/>
                <w:snapToGrid w:val="0"/>
                <w:color w:val="000000"/>
                <w:kern w:val="0"/>
                <w:sz w:val="21"/>
                <w:szCs w:val="21"/>
                <w:lang w:val="en-US" w:eastAsia="en-US" w:bidi="ar-SA"/>
              </w:rPr>
            </w:pPr>
            <w:r>
              <w:rPr>
                <w:spacing w:val="-1"/>
              </w:rPr>
              <w:t>配置数据的准确率</w:t>
            </w:r>
          </w:p>
        </w:tc>
        <w:tc>
          <w:tcPr>
            <w:tcW w:w="870" w:type="dxa"/>
            <w:shd w:val="clear"/>
            <w:vAlign w:val="top"/>
          </w:tcPr>
          <w:p w14:paraId="5EADE6CF">
            <w:pPr>
              <w:pStyle w:val="25"/>
              <w:spacing w:before="214" w:line="237" w:lineRule="auto"/>
              <w:ind w:left="187" w:leftChars="0"/>
              <w:rPr>
                <w:rFonts w:ascii="宋体" w:hAnsi="宋体" w:eastAsia="宋体" w:cs="宋体"/>
                <w:snapToGrid w:val="0"/>
                <w:color w:val="000000"/>
                <w:kern w:val="0"/>
                <w:sz w:val="21"/>
                <w:szCs w:val="21"/>
                <w:lang w:val="en-US" w:eastAsia="en-US" w:bidi="ar-SA"/>
              </w:rPr>
            </w:pPr>
            <w:r>
              <w:rPr>
                <w:spacing w:val="-8"/>
              </w:rPr>
              <w:t>≥95%</w:t>
            </w:r>
          </w:p>
        </w:tc>
        <w:tc>
          <w:tcPr>
            <w:tcW w:w="1079" w:type="dxa"/>
            <w:shd w:val="clear"/>
            <w:vAlign w:val="top"/>
          </w:tcPr>
          <w:p w14:paraId="720B8128">
            <w:pPr>
              <w:pStyle w:val="25"/>
              <w:spacing w:before="214" w:line="219" w:lineRule="auto"/>
              <w:ind w:left="328" w:leftChars="0"/>
              <w:rPr>
                <w:rFonts w:ascii="宋体" w:hAnsi="宋体" w:eastAsia="宋体" w:cs="宋体"/>
                <w:snapToGrid w:val="0"/>
                <w:color w:val="000000"/>
                <w:kern w:val="0"/>
                <w:sz w:val="21"/>
                <w:szCs w:val="21"/>
                <w:lang w:val="en-US" w:eastAsia="en-US" w:bidi="ar-SA"/>
              </w:rPr>
            </w:pPr>
            <w:r>
              <w:rPr>
                <w:spacing w:val="-5"/>
              </w:rPr>
              <w:t>季度</w:t>
            </w:r>
          </w:p>
        </w:tc>
        <w:tc>
          <w:tcPr>
            <w:tcW w:w="1079" w:type="dxa"/>
            <w:shd w:val="clear"/>
            <w:vAlign w:val="top"/>
          </w:tcPr>
          <w:p w14:paraId="647ED9BB">
            <w:pPr>
              <w:pStyle w:val="25"/>
              <w:spacing w:before="214" w:line="219" w:lineRule="auto"/>
              <w:ind w:left="328" w:leftChars="0"/>
              <w:rPr>
                <w:spacing w:val="-5"/>
              </w:rPr>
            </w:pPr>
            <w:r>
              <w:rPr>
                <w:spacing w:val="-8"/>
              </w:rPr>
              <w:t>9</w:t>
            </w:r>
            <w:r>
              <w:rPr>
                <w:rFonts w:hint="eastAsia"/>
                <w:spacing w:val="-8"/>
                <w:lang w:val="en-US" w:eastAsia="zh-CN"/>
              </w:rPr>
              <w:t>4</w:t>
            </w:r>
            <w:r>
              <w:rPr>
                <w:spacing w:val="-8"/>
              </w:rPr>
              <w:t>%</w:t>
            </w:r>
          </w:p>
        </w:tc>
        <w:tc>
          <w:tcPr>
            <w:tcW w:w="1079" w:type="dxa"/>
            <w:shd w:val="clear"/>
            <w:vAlign w:val="top"/>
          </w:tcPr>
          <w:p w14:paraId="3A546F5F">
            <w:pPr>
              <w:pStyle w:val="25"/>
              <w:spacing w:before="214" w:line="219" w:lineRule="auto"/>
              <w:ind w:left="328" w:leftChars="0"/>
              <w:rPr>
                <w:spacing w:val="-5"/>
              </w:rPr>
            </w:pPr>
            <w:r>
              <w:rPr>
                <w:spacing w:val="-8"/>
              </w:rPr>
              <w:t>95%</w:t>
            </w:r>
          </w:p>
        </w:tc>
        <w:tc>
          <w:tcPr>
            <w:tcW w:w="1079" w:type="dxa"/>
            <w:shd w:val="clear"/>
            <w:vAlign w:val="top"/>
          </w:tcPr>
          <w:p w14:paraId="775A0FBE">
            <w:pPr>
              <w:pStyle w:val="25"/>
              <w:spacing w:before="214" w:line="219" w:lineRule="auto"/>
              <w:ind w:left="328" w:leftChars="0"/>
              <w:rPr>
                <w:spacing w:val="-5"/>
              </w:rPr>
            </w:pPr>
            <w:r>
              <w:rPr>
                <w:spacing w:val="-8"/>
              </w:rPr>
              <w:t>9</w:t>
            </w:r>
            <w:r>
              <w:rPr>
                <w:rFonts w:hint="eastAsia"/>
                <w:spacing w:val="-8"/>
                <w:lang w:val="en-US" w:eastAsia="zh-CN"/>
              </w:rPr>
              <w:t>8</w:t>
            </w:r>
            <w:r>
              <w:rPr>
                <w:spacing w:val="-8"/>
              </w:rPr>
              <w:t>%</w:t>
            </w:r>
          </w:p>
        </w:tc>
        <w:tc>
          <w:tcPr>
            <w:tcW w:w="1079" w:type="dxa"/>
            <w:shd w:val="clear"/>
            <w:vAlign w:val="top"/>
          </w:tcPr>
          <w:p w14:paraId="0CBC4E0C">
            <w:pPr>
              <w:pStyle w:val="25"/>
              <w:spacing w:before="214" w:line="219" w:lineRule="auto"/>
              <w:ind w:left="328" w:leftChars="0"/>
              <w:rPr>
                <w:rFonts w:hint="default" w:eastAsia="宋体"/>
                <w:spacing w:val="-5"/>
                <w:lang w:val="en-US" w:eastAsia="zh-CN"/>
              </w:rPr>
            </w:pPr>
            <w:r>
              <w:rPr>
                <w:rFonts w:hint="eastAsia"/>
                <w:spacing w:val="-5"/>
                <w:lang w:val="en-US" w:eastAsia="zh-CN"/>
              </w:rPr>
              <w:t>99%</w:t>
            </w:r>
          </w:p>
        </w:tc>
      </w:tr>
      <w:tr w14:paraId="0E0AF5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640" w:type="dxa"/>
          </w:tcPr>
          <w:p w14:paraId="3FE5D0CD">
            <w:pPr>
              <w:rPr>
                <w:rFonts w:ascii="Arial"/>
                <w:sz w:val="21"/>
              </w:rPr>
            </w:pPr>
          </w:p>
        </w:tc>
        <w:tc>
          <w:tcPr>
            <w:tcW w:w="839" w:type="dxa"/>
            <w:shd w:val="clear"/>
            <w:vAlign w:val="top"/>
          </w:tcPr>
          <w:p w14:paraId="6BD00211">
            <w:pPr>
              <w:pStyle w:val="25"/>
              <w:spacing w:before="213" w:line="239" w:lineRule="auto"/>
              <w:ind w:left="262" w:leftChars="0"/>
              <w:rPr>
                <w:rFonts w:ascii="宋体" w:hAnsi="宋体" w:eastAsia="宋体" w:cs="宋体"/>
                <w:snapToGrid w:val="0"/>
                <w:color w:val="000000"/>
                <w:kern w:val="0"/>
                <w:sz w:val="21"/>
                <w:szCs w:val="21"/>
                <w:lang w:val="en-US" w:eastAsia="en-US" w:bidi="ar-SA"/>
              </w:rPr>
            </w:pPr>
            <w:r>
              <w:rPr>
                <w:spacing w:val="-5"/>
              </w:rPr>
              <w:t>5.9</w:t>
            </w:r>
          </w:p>
        </w:tc>
        <w:tc>
          <w:tcPr>
            <w:tcW w:w="2158" w:type="dxa"/>
            <w:shd w:val="clear"/>
            <w:vAlign w:val="top"/>
          </w:tcPr>
          <w:p w14:paraId="3068B509">
            <w:pPr>
              <w:pStyle w:val="25"/>
              <w:spacing w:before="214" w:line="219" w:lineRule="auto"/>
              <w:ind w:left="530" w:leftChars="0"/>
              <w:rPr>
                <w:rFonts w:ascii="宋体" w:hAnsi="宋体" w:eastAsia="宋体" w:cs="宋体"/>
                <w:snapToGrid w:val="0"/>
                <w:color w:val="000000"/>
                <w:kern w:val="0"/>
                <w:sz w:val="21"/>
                <w:szCs w:val="21"/>
                <w:lang w:val="en-US" w:eastAsia="en-US" w:bidi="ar-SA"/>
              </w:rPr>
            </w:pPr>
            <w:r>
              <w:rPr>
                <w:spacing w:val="-1"/>
              </w:rPr>
              <w:t>变更成功率</w:t>
            </w:r>
          </w:p>
        </w:tc>
        <w:tc>
          <w:tcPr>
            <w:tcW w:w="870" w:type="dxa"/>
            <w:shd w:val="clear"/>
            <w:vAlign w:val="top"/>
          </w:tcPr>
          <w:p w14:paraId="12B1B8A1">
            <w:pPr>
              <w:pStyle w:val="25"/>
              <w:spacing w:before="214" w:line="237" w:lineRule="auto"/>
              <w:ind w:left="187" w:leftChars="0"/>
              <w:rPr>
                <w:rFonts w:ascii="宋体" w:hAnsi="宋体" w:eastAsia="宋体" w:cs="宋体"/>
                <w:snapToGrid w:val="0"/>
                <w:color w:val="000000"/>
                <w:kern w:val="0"/>
                <w:sz w:val="21"/>
                <w:szCs w:val="21"/>
                <w:lang w:val="en-US" w:eastAsia="en-US" w:bidi="ar-SA"/>
              </w:rPr>
            </w:pPr>
            <w:r>
              <w:rPr>
                <w:spacing w:val="-8"/>
              </w:rPr>
              <w:t>≥95%</w:t>
            </w:r>
          </w:p>
        </w:tc>
        <w:tc>
          <w:tcPr>
            <w:tcW w:w="1079" w:type="dxa"/>
            <w:shd w:val="clear"/>
            <w:vAlign w:val="top"/>
          </w:tcPr>
          <w:p w14:paraId="72EFF177">
            <w:pPr>
              <w:pStyle w:val="25"/>
              <w:spacing w:before="214" w:line="219" w:lineRule="auto"/>
              <w:ind w:left="328" w:leftChars="0"/>
              <w:rPr>
                <w:rFonts w:ascii="宋体" w:hAnsi="宋体" w:eastAsia="宋体" w:cs="宋体"/>
                <w:snapToGrid w:val="0"/>
                <w:color w:val="000000"/>
                <w:kern w:val="0"/>
                <w:sz w:val="21"/>
                <w:szCs w:val="21"/>
                <w:lang w:val="en-US" w:eastAsia="en-US" w:bidi="ar-SA"/>
              </w:rPr>
            </w:pPr>
            <w:r>
              <w:rPr>
                <w:spacing w:val="-5"/>
              </w:rPr>
              <w:t>季度</w:t>
            </w:r>
          </w:p>
        </w:tc>
        <w:tc>
          <w:tcPr>
            <w:tcW w:w="1079" w:type="dxa"/>
            <w:shd w:val="clear" w:color="auto" w:fill="auto"/>
            <w:vAlign w:val="top"/>
          </w:tcPr>
          <w:p w14:paraId="07235F71">
            <w:pPr>
              <w:pStyle w:val="25"/>
              <w:spacing w:before="214" w:line="219" w:lineRule="auto"/>
              <w:ind w:left="328" w:leftChars="0"/>
              <w:rPr>
                <w:rFonts w:ascii="宋体" w:hAnsi="宋体" w:eastAsia="宋体" w:cs="宋体"/>
                <w:snapToGrid w:val="0"/>
                <w:color w:val="000000"/>
                <w:spacing w:val="-5"/>
                <w:kern w:val="0"/>
                <w:sz w:val="21"/>
                <w:szCs w:val="21"/>
                <w:lang w:val="en-US" w:eastAsia="en-US" w:bidi="ar-SA"/>
              </w:rPr>
            </w:pPr>
            <w:r>
              <w:rPr>
                <w:spacing w:val="-8"/>
              </w:rPr>
              <w:t>9</w:t>
            </w:r>
            <w:r>
              <w:rPr>
                <w:rFonts w:hint="eastAsia"/>
                <w:spacing w:val="-8"/>
                <w:lang w:val="en-US" w:eastAsia="zh-CN"/>
              </w:rPr>
              <w:t>4</w:t>
            </w:r>
            <w:r>
              <w:rPr>
                <w:spacing w:val="-8"/>
              </w:rPr>
              <w:t>%</w:t>
            </w:r>
          </w:p>
        </w:tc>
        <w:tc>
          <w:tcPr>
            <w:tcW w:w="1079" w:type="dxa"/>
            <w:shd w:val="clear" w:color="auto" w:fill="auto"/>
            <w:vAlign w:val="top"/>
          </w:tcPr>
          <w:p w14:paraId="72D1CFF5">
            <w:pPr>
              <w:pStyle w:val="25"/>
              <w:spacing w:before="214" w:line="219" w:lineRule="auto"/>
              <w:ind w:left="328" w:leftChars="0"/>
              <w:rPr>
                <w:rFonts w:ascii="宋体" w:hAnsi="宋体" w:eastAsia="宋体" w:cs="宋体"/>
                <w:snapToGrid w:val="0"/>
                <w:color w:val="000000"/>
                <w:spacing w:val="-5"/>
                <w:kern w:val="0"/>
                <w:sz w:val="21"/>
                <w:szCs w:val="21"/>
                <w:lang w:val="en-US" w:eastAsia="en-US" w:bidi="ar-SA"/>
              </w:rPr>
            </w:pPr>
            <w:r>
              <w:rPr>
                <w:spacing w:val="-8"/>
              </w:rPr>
              <w:t>95%</w:t>
            </w:r>
          </w:p>
        </w:tc>
        <w:tc>
          <w:tcPr>
            <w:tcW w:w="1079" w:type="dxa"/>
            <w:shd w:val="clear" w:color="auto" w:fill="auto"/>
            <w:vAlign w:val="top"/>
          </w:tcPr>
          <w:p w14:paraId="30F766B6">
            <w:pPr>
              <w:pStyle w:val="25"/>
              <w:spacing w:before="214" w:line="219" w:lineRule="auto"/>
              <w:ind w:left="328" w:leftChars="0"/>
              <w:rPr>
                <w:rFonts w:ascii="宋体" w:hAnsi="宋体" w:eastAsia="宋体" w:cs="宋体"/>
                <w:snapToGrid w:val="0"/>
                <w:color w:val="000000"/>
                <w:spacing w:val="-5"/>
                <w:kern w:val="0"/>
                <w:sz w:val="21"/>
                <w:szCs w:val="21"/>
                <w:lang w:val="en-US" w:eastAsia="en-US" w:bidi="ar-SA"/>
              </w:rPr>
            </w:pPr>
            <w:r>
              <w:rPr>
                <w:spacing w:val="-8"/>
              </w:rPr>
              <w:t>9</w:t>
            </w:r>
            <w:r>
              <w:rPr>
                <w:rFonts w:hint="eastAsia"/>
                <w:spacing w:val="-8"/>
                <w:lang w:val="en-US" w:eastAsia="zh-CN"/>
              </w:rPr>
              <w:t>8</w:t>
            </w:r>
            <w:r>
              <w:rPr>
                <w:spacing w:val="-8"/>
              </w:rPr>
              <w:t>%</w:t>
            </w:r>
          </w:p>
        </w:tc>
        <w:tc>
          <w:tcPr>
            <w:tcW w:w="1079" w:type="dxa"/>
            <w:shd w:val="clear"/>
            <w:vAlign w:val="top"/>
          </w:tcPr>
          <w:p w14:paraId="440C593D">
            <w:pPr>
              <w:pStyle w:val="25"/>
              <w:spacing w:before="214" w:line="219" w:lineRule="auto"/>
              <w:ind w:left="328" w:leftChars="0"/>
              <w:rPr>
                <w:rFonts w:hint="default" w:eastAsia="宋体"/>
                <w:spacing w:val="-5"/>
                <w:lang w:val="en-US" w:eastAsia="zh-CN"/>
              </w:rPr>
            </w:pPr>
            <w:r>
              <w:rPr>
                <w:rFonts w:hint="eastAsia"/>
                <w:spacing w:val="-5"/>
                <w:lang w:val="en-US" w:eastAsia="zh-CN"/>
              </w:rPr>
              <w:t>98%</w:t>
            </w:r>
          </w:p>
        </w:tc>
      </w:tr>
      <w:tr w14:paraId="7D5F04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640" w:type="dxa"/>
          </w:tcPr>
          <w:p w14:paraId="582593C2">
            <w:pPr>
              <w:rPr>
                <w:rFonts w:ascii="Arial"/>
                <w:sz w:val="21"/>
              </w:rPr>
            </w:pPr>
          </w:p>
        </w:tc>
        <w:tc>
          <w:tcPr>
            <w:tcW w:w="839" w:type="dxa"/>
            <w:shd w:val="clear"/>
            <w:vAlign w:val="top"/>
          </w:tcPr>
          <w:p w14:paraId="5DB501BD">
            <w:pPr>
              <w:pStyle w:val="25"/>
              <w:spacing w:before="218" w:line="239" w:lineRule="auto"/>
              <w:ind w:left="207" w:leftChars="0"/>
              <w:rPr>
                <w:rFonts w:ascii="宋体" w:hAnsi="宋体" w:eastAsia="宋体" w:cs="宋体"/>
                <w:snapToGrid w:val="0"/>
                <w:color w:val="000000"/>
                <w:kern w:val="0"/>
                <w:sz w:val="21"/>
                <w:szCs w:val="21"/>
                <w:lang w:val="en-US" w:eastAsia="en-US" w:bidi="ar-SA"/>
              </w:rPr>
            </w:pPr>
            <w:r>
              <w:rPr>
                <w:spacing w:val="-4"/>
              </w:rPr>
              <w:t>5.10</w:t>
            </w:r>
          </w:p>
        </w:tc>
        <w:tc>
          <w:tcPr>
            <w:tcW w:w="2158" w:type="dxa"/>
            <w:shd w:val="clear"/>
            <w:vAlign w:val="top"/>
          </w:tcPr>
          <w:p w14:paraId="1FE11818">
            <w:pPr>
              <w:pStyle w:val="25"/>
              <w:spacing w:before="218" w:line="219" w:lineRule="auto"/>
              <w:ind w:left="534" w:leftChars="0"/>
              <w:rPr>
                <w:rFonts w:ascii="宋体" w:hAnsi="宋体" w:eastAsia="宋体" w:cs="宋体"/>
                <w:snapToGrid w:val="0"/>
                <w:color w:val="000000"/>
                <w:kern w:val="0"/>
                <w:sz w:val="21"/>
                <w:szCs w:val="21"/>
                <w:lang w:val="en-US" w:eastAsia="en-US" w:bidi="ar-SA"/>
              </w:rPr>
            </w:pPr>
            <w:r>
              <w:rPr>
                <w:spacing w:val="-2"/>
              </w:rPr>
              <w:t>发布成功率</w:t>
            </w:r>
          </w:p>
        </w:tc>
        <w:tc>
          <w:tcPr>
            <w:tcW w:w="870" w:type="dxa"/>
            <w:shd w:val="clear"/>
            <w:vAlign w:val="top"/>
          </w:tcPr>
          <w:p w14:paraId="26D49042">
            <w:pPr>
              <w:pStyle w:val="25"/>
              <w:spacing w:before="219" w:line="237" w:lineRule="auto"/>
              <w:ind w:left="187" w:leftChars="0"/>
              <w:rPr>
                <w:rFonts w:ascii="宋体" w:hAnsi="宋体" w:eastAsia="宋体" w:cs="宋体"/>
                <w:snapToGrid w:val="0"/>
                <w:color w:val="000000"/>
                <w:kern w:val="0"/>
                <w:sz w:val="21"/>
                <w:szCs w:val="21"/>
                <w:lang w:val="en-US" w:eastAsia="en-US" w:bidi="ar-SA"/>
              </w:rPr>
            </w:pPr>
            <w:r>
              <w:rPr>
                <w:spacing w:val="-8"/>
              </w:rPr>
              <w:t>≥95%</w:t>
            </w:r>
          </w:p>
        </w:tc>
        <w:tc>
          <w:tcPr>
            <w:tcW w:w="1079" w:type="dxa"/>
            <w:shd w:val="clear"/>
            <w:vAlign w:val="top"/>
          </w:tcPr>
          <w:p w14:paraId="7135596E">
            <w:pPr>
              <w:pStyle w:val="25"/>
              <w:spacing w:before="219" w:line="219" w:lineRule="auto"/>
              <w:ind w:left="328" w:leftChars="0"/>
              <w:rPr>
                <w:rFonts w:ascii="宋体" w:hAnsi="宋体" w:eastAsia="宋体" w:cs="宋体"/>
                <w:snapToGrid w:val="0"/>
                <w:color w:val="000000"/>
                <w:kern w:val="0"/>
                <w:sz w:val="21"/>
                <w:szCs w:val="21"/>
                <w:lang w:val="en-US" w:eastAsia="en-US" w:bidi="ar-SA"/>
              </w:rPr>
            </w:pPr>
            <w:r>
              <w:rPr>
                <w:spacing w:val="-5"/>
              </w:rPr>
              <w:t>季度</w:t>
            </w:r>
          </w:p>
        </w:tc>
        <w:tc>
          <w:tcPr>
            <w:tcW w:w="1079" w:type="dxa"/>
            <w:shd w:val="clear" w:color="auto" w:fill="auto"/>
            <w:vAlign w:val="top"/>
          </w:tcPr>
          <w:p w14:paraId="25959FF5">
            <w:pPr>
              <w:pStyle w:val="25"/>
              <w:spacing w:before="214" w:line="219" w:lineRule="auto"/>
              <w:ind w:left="328" w:leftChars="0"/>
              <w:rPr>
                <w:rFonts w:ascii="宋体" w:hAnsi="宋体" w:eastAsia="宋体" w:cs="宋体"/>
                <w:snapToGrid w:val="0"/>
                <w:color w:val="000000"/>
                <w:spacing w:val="-5"/>
                <w:kern w:val="0"/>
                <w:sz w:val="21"/>
                <w:szCs w:val="21"/>
                <w:lang w:val="en-US" w:eastAsia="en-US" w:bidi="ar-SA"/>
              </w:rPr>
            </w:pPr>
            <w:r>
              <w:rPr>
                <w:spacing w:val="-8"/>
              </w:rPr>
              <w:t>9</w:t>
            </w:r>
            <w:r>
              <w:rPr>
                <w:rFonts w:hint="eastAsia"/>
                <w:spacing w:val="-8"/>
                <w:lang w:val="en-US" w:eastAsia="zh-CN"/>
              </w:rPr>
              <w:t>4</w:t>
            </w:r>
            <w:r>
              <w:rPr>
                <w:spacing w:val="-8"/>
              </w:rPr>
              <w:t>%</w:t>
            </w:r>
          </w:p>
        </w:tc>
        <w:tc>
          <w:tcPr>
            <w:tcW w:w="1079" w:type="dxa"/>
            <w:shd w:val="clear" w:color="auto" w:fill="auto"/>
            <w:vAlign w:val="top"/>
          </w:tcPr>
          <w:p w14:paraId="2D5C5397">
            <w:pPr>
              <w:pStyle w:val="25"/>
              <w:spacing w:before="214" w:line="219" w:lineRule="auto"/>
              <w:ind w:left="328" w:leftChars="0"/>
              <w:rPr>
                <w:rFonts w:ascii="宋体" w:hAnsi="宋体" w:eastAsia="宋体" w:cs="宋体"/>
                <w:snapToGrid w:val="0"/>
                <w:color w:val="000000"/>
                <w:spacing w:val="-5"/>
                <w:kern w:val="0"/>
                <w:sz w:val="21"/>
                <w:szCs w:val="21"/>
                <w:lang w:val="en-US" w:eastAsia="en-US" w:bidi="ar-SA"/>
              </w:rPr>
            </w:pPr>
            <w:r>
              <w:rPr>
                <w:spacing w:val="-8"/>
              </w:rPr>
              <w:t>95%</w:t>
            </w:r>
          </w:p>
        </w:tc>
        <w:tc>
          <w:tcPr>
            <w:tcW w:w="1079" w:type="dxa"/>
            <w:shd w:val="clear" w:color="auto" w:fill="auto"/>
            <w:vAlign w:val="top"/>
          </w:tcPr>
          <w:p w14:paraId="73BE561E">
            <w:pPr>
              <w:pStyle w:val="25"/>
              <w:spacing w:before="214" w:line="219" w:lineRule="auto"/>
              <w:ind w:left="328" w:leftChars="0"/>
              <w:rPr>
                <w:rFonts w:ascii="宋体" w:hAnsi="宋体" w:eastAsia="宋体" w:cs="宋体"/>
                <w:snapToGrid w:val="0"/>
                <w:color w:val="000000"/>
                <w:spacing w:val="-5"/>
                <w:kern w:val="0"/>
                <w:sz w:val="21"/>
                <w:szCs w:val="21"/>
                <w:lang w:val="en-US" w:eastAsia="en-US" w:bidi="ar-SA"/>
              </w:rPr>
            </w:pPr>
            <w:r>
              <w:rPr>
                <w:spacing w:val="-8"/>
              </w:rPr>
              <w:t>9</w:t>
            </w:r>
            <w:r>
              <w:rPr>
                <w:rFonts w:hint="eastAsia"/>
                <w:spacing w:val="-8"/>
                <w:lang w:val="en-US" w:eastAsia="zh-CN"/>
              </w:rPr>
              <w:t>8</w:t>
            </w:r>
            <w:r>
              <w:rPr>
                <w:spacing w:val="-8"/>
              </w:rPr>
              <w:t>%</w:t>
            </w:r>
          </w:p>
        </w:tc>
        <w:tc>
          <w:tcPr>
            <w:tcW w:w="1079" w:type="dxa"/>
            <w:shd w:val="clear"/>
            <w:vAlign w:val="top"/>
          </w:tcPr>
          <w:p w14:paraId="770BBF92">
            <w:pPr>
              <w:pStyle w:val="25"/>
              <w:spacing w:before="219" w:line="219" w:lineRule="auto"/>
              <w:ind w:left="328" w:leftChars="0"/>
              <w:rPr>
                <w:spacing w:val="-5"/>
              </w:rPr>
            </w:pPr>
            <w:r>
              <w:rPr>
                <w:rFonts w:hint="eastAsia"/>
                <w:spacing w:val="-5"/>
                <w:lang w:val="en-US" w:eastAsia="zh-CN"/>
              </w:rPr>
              <w:t>98%</w:t>
            </w:r>
          </w:p>
        </w:tc>
      </w:tr>
      <w:tr w14:paraId="0B0D2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640" w:type="dxa"/>
          </w:tcPr>
          <w:p w14:paraId="4AE36DA4">
            <w:pPr>
              <w:rPr>
                <w:rFonts w:ascii="Arial"/>
                <w:sz w:val="21"/>
              </w:rPr>
            </w:pPr>
          </w:p>
        </w:tc>
        <w:tc>
          <w:tcPr>
            <w:tcW w:w="839" w:type="dxa"/>
            <w:shd w:val="clear"/>
            <w:vAlign w:val="top"/>
          </w:tcPr>
          <w:p w14:paraId="5ABE8C60">
            <w:pPr>
              <w:pStyle w:val="25"/>
              <w:spacing w:before="220" w:line="239" w:lineRule="auto"/>
              <w:ind w:left="207" w:leftChars="0"/>
              <w:rPr>
                <w:rFonts w:ascii="宋体" w:hAnsi="宋体" w:eastAsia="宋体" w:cs="宋体"/>
                <w:snapToGrid w:val="0"/>
                <w:color w:val="000000"/>
                <w:kern w:val="0"/>
                <w:sz w:val="21"/>
                <w:szCs w:val="21"/>
                <w:lang w:val="en-US" w:eastAsia="en-US" w:bidi="ar-SA"/>
              </w:rPr>
            </w:pPr>
            <w:r>
              <w:rPr>
                <w:spacing w:val="-4"/>
              </w:rPr>
              <w:t>5.11</w:t>
            </w:r>
          </w:p>
        </w:tc>
        <w:tc>
          <w:tcPr>
            <w:tcW w:w="2158" w:type="dxa"/>
            <w:shd w:val="clear"/>
            <w:vAlign w:val="top"/>
          </w:tcPr>
          <w:p w14:paraId="7D4D6090">
            <w:pPr>
              <w:pStyle w:val="25"/>
              <w:spacing w:before="221" w:line="219" w:lineRule="auto"/>
              <w:ind w:left="199" w:leftChars="0"/>
              <w:rPr>
                <w:rFonts w:ascii="宋体" w:hAnsi="宋体" w:eastAsia="宋体" w:cs="宋体"/>
                <w:snapToGrid w:val="0"/>
                <w:color w:val="000000"/>
                <w:kern w:val="0"/>
                <w:sz w:val="21"/>
                <w:szCs w:val="21"/>
                <w:lang w:val="en-US" w:eastAsia="en-US" w:bidi="ar-SA"/>
              </w:rPr>
            </w:pPr>
            <w:r>
              <w:rPr>
                <w:spacing w:val="-1"/>
              </w:rPr>
              <w:t>信息安全事故数量</w:t>
            </w:r>
          </w:p>
        </w:tc>
        <w:tc>
          <w:tcPr>
            <w:tcW w:w="870" w:type="dxa"/>
            <w:shd w:val="clear"/>
            <w:vAlign w:val="top"/>
          </w:tcPr>
          <w:p w14:paraId="25CDF8F0">
            <w:pPr>
              <w:pStyle w:val="25"/>
              <w:spacing w:before="221" w:line="219" w:lineRule="auto"/>
              <w:ind w:left="218" w:leftChars="0"/>
              <w:rPr>
                <w:rFonts w:ascii="宋体" w:hAnsi="宋体" w:eastAsia="宋体" w:cs="宋体"/>
                <w:snapToGrid w:val="0"/>
                <w:color w:val="000000"/>
                <w:kern w:val="0"/>
                <w:sz w:val="21"/>
                <w:szCs w:val="21"/>
                <w:lang w:val="en-US" w:eastAsia="en-US" w:bidi="ar-SA"/>
              </w:rPr>
            </w:pPr>
            <w:r>
              <w:rPr>
                <w:spacing w:val="-2"/>
              </w:rPr>
              <w:t>=0次</w:t>
            </w:r>
          </w:p>
        </w:tc>
        <w:tc>
          <w:tcPr>
            <w:tcW w:w="1079" w:type="dxa"/>
            <w:shd w:val="clear"/>
            <w:vAlign w:val="top"/>
          </w:tcPr>
          <w:p w14:paraId="678225F9">
            <w:pPr>
              <w:pStyle w:val="25"/>
              <w:spacing w:before="221" w:line="219" w:lineRule="auto"/>
              <w:ind w:left="332" w:leftChars="0"/>
              <w:rPr>
                <w:rFonts w:ascii="宋体" w:hAnsi="宋体" w:eastAsia="宋体" w:cs="宋体"/>
                <w:snapToGrid w:val="0"/>
                <w:color w:val="000000"/>
                <w:kern w:val="0"/>
                <w:sz w:val="21"/>
                <w:szCs w:val="21"/>
                <w:lang w:val="en-US" w:eastAsia="en-US" w:bidi="ar-SA"/>
              </w:rPr>
            </w:pPr>
            <w:r>
              <w:rPr>
                <w:spacing w:val="-7"/>
              </w:rPr>
              <w:t>月度</w:t>
            </w:r>
          </w:p>
        </w:tc>
        <w:tc>
          <w:tcPr>
            <w:tcW w:w="1079" w:type="dxa"/>
            <w:shd w:val="clear"/>
            <w:vAlign w:val="top"/>
          </w:tcPr>
          <w:p w14:paraId="4D0C578D">
            <w:pPr>
              <w:pStyle w:val="25"/>
              <w:spacing w:before="221" w:line="219" w:lineRule="auto"/>
              <w:ind w:left="332" w:leftChars="0"/>
              <w:rPr>
                <w:spacing w:val="-7"/>
              </w:rPr>
            </w:pPr>
            <w:r>
              <w:rPr>
                <w:rFonts w:hint="eastAsia"/>
                <w:spacing w:val="-7"/>
                <w:lang w:val="en-US" w:eastAsia="zh-CN"/>
              </w:rPr>
              <w:t>0次</w:t>
            </w:r>
          </w:p>
        </w:tc>
        <w:tc>
          <w:tcPr>
            <w:tcW w:w="1079" w:type="dxa"/>
            <w:shd w:val="clear"/>
            <w:vAlign w:val="top"/>
          </w:tcPr>
          <w:p w14:paraId="27FA37EE">
            <w:pPr>
              <w:pStyle w:val="25"/>
              <w:spacing w:before="221" w:line="219" w:lineRule="auto"/>
              <w:ind w:left="332" w:leftChars="0"/>
              <w:rPr>
                <w:spacing w:val="-7"/>
              </w:rPr>
            </w:pPr>
            <w:r>
              <w:rPr>
                <w:rFonts w:hint="eastAsia"/>
                <w:spacing w:val="-7"/>
                <w:lang w:val="en-US" w:eastAsia="zh-CN"/>
              </w:rPr>
              <w:t>0次</w:t>
            </w:r>
          </w:p>
        </w:tc>
        <w:tc>
          <w:tcPr>
            <w:tcW w:w="1079" w:type="dxa"/>
            <w:shd w:val="clear"/>
            <w:vAlign w:val="top"/>
          </w:tcPr>
          <w:p w14:paraId="19DC9681">
            <w:pPr>
              <w:pStyle w:val="25"/>
              <w:spacing w:before="221" w:line="219" w:lineRule="auto"/>
              <w:ind w:left="332" w:leftChars="0"/>
              <w:rPr>
                <w:spacing w:val="-7"/>
              </w:rPr>
            </w:pPr>
            <w:r>
              <w:rPr>
                <w:rFonts w:hint="eastAsia"/>
                <w:spacing w:val="-7"/>
                <w:lang w:val="en-US" w:eastAsia="zh-CN"/>
              </w:rPr>
              <w:t>0次</w:t>
            </w:r>
            <w:bookmarkStart w:id="21" w:name="_GoBack"/>
            <w:bookmarkEnd w:id="21"/>
          </w:p>
        </w:tc>
        <w:tc>
          <w:tcPr>
            <w:tcW w:w="1079" w:type="dxa"/>
            <w:shd w:val="clear"/>
            <w:vAlign w:val="top"/>
          </w:tcPr>
          <w:p w14:paraId="45DB8062">
            <w:pPr>
              <w:pStyle w:val="25"/>
              <w:spacing w:before="221" w:line="219" w:lineRule="auto"/>
              <w:ind w:left="332" w:leftChars="0"/>
              <w:rPr>
                <w:rFonts w:hint="default" w:eastAsia="宋体"/>
                <w:spacing w:val="-7"/>
                <w:lang w:val="en-US" w:eastAsia="zh-CN"/>
              </w:rPr>
            </w:pPr>
            <w:r>
              <w:rPr>
                <w:rFonts w:hint="eastAsia"/>
                <w:spacing w:val="-7"/>
                <w:lang w:val="en-US" w:eastAsia="zh-CN"/>
              </w:rPr>
              <w:t>0次</w:t>
            </w:r>
          </w:p>
        </w:tc>
      </w:tr>
    </w:tbl>
    <w:p w14:paraId="365A9FC3"/>
    <w:p w14:paraId="60E63B0C">
      <w:pPr>
        <w:pStyle w:val="2"/>
        <w:numPr>
          <w:ilvl w:val="0"/>
          <w:numId w:val="2"/>
        </w:numPr>
        <w:ind w:left="852" w:hanging="525"/>
        <w:rPr>
          <w:rFonts w:hint="eastAsia" w:ascii="宋体" w:hAnsi="宋体" w:cs="Times New Roman"/>
          <w:sz w:val="30"/>
          <w:szCs w:val="30"/>
        </w:rPr>
      </w:pPr>
      <w:bookmarkStart w:id="5" w:name="_Toc312"/>
      <w:bookmarkStart w:id="6" w:name="_Toc12550"/>
      <w:bookmarkStart w:id="7" w:name="_Toc11882"/>
      <w:r>
        <w:rPr>
          <w:rFonts w:hint="default" w:ascii="宋体" w:hAnsi="宋体" w:cs="Times New Roman"/>
          <w:sz w:val="30"/>
          <w:szCs w:val="30"/>
          <w:lang w:val="en-US" w:eastAsia="zh-CN"/>
        </w:rPr>
        <w:t>ITSS体系带来的发展</w:t>
      </w:r>
      <w:bookmarkEnd w:id="5"/>
      <w:bookmarkEnd w:id="6"/>
      <w:bookmarkEnd w:id="7"/>
    </w:p>
    <w:p w14:paraId="43BDEB3F">
      <w:pPr>
        <w:pStyle w:val="12"/>
        <w:spacing w:line="360" w:lineRule="auto"/>
        <w:ind w:firstLine="480"/>
        <w:rPr>
          <w:sz w:val="21"/>
          <w:szCs w:val="21"/>
        </w:rPr>
      </w:pPr>
      <w:r>
        <w:rPr>
          <w:rFonts w:hint="eastAsia"/>
          <w:sz w:val="21"/>
          <w:szCs w:val="21"/>
        </w:rPr>
        <w:t>通过基于运维服务能力成熟度</w:t>
      </w:r>
      <w:r>
        <w:rPr>
          <w:rFonts w:hint="eastAsia"/>
          <w:sz w:val="21"/>
          <w:szCs w:val="21"/>
          <w:lang w:val="en-US" w:eastAsia="zh-CN"/>
        </w:rPr>
        <w:t>二</w:t>
      </w:r>
      <w:r>
        <w:rPr>
          <w:rFonts w:hint="eastAsia"/>
          <w:sz w:val="21"/>
          <w:szCs w:val="21"/>
        </w:rPr>
        <w:t>级要求建立的服务管理体系的落地实施，给</w:t>
      </w:r>
      <w:r>
        <w:rPr>
          <w:rFonts w:hint="eastAsia"/>
          <w:sz w:val="21"/>
          <w:szCs w:val="21"/>
          <w:lang w:val="en-US" w:eastAsia="zh-CN"/>
        </w:rPr>
        <w:t>中建电子信息技术有限公司</w:t>
      </w:r>
      <w:r>
        <w:rPr>
          <w:rFonts w:hint="eastAsia"/>
          <w:sz w:val="21"/>
          <w:szCs w:val="21"/>
        </w:rPr>
        <w:t>的运维业务管理带来了巨大的收益。建立了总体的运维能力管理体系，使得</w:t>
      </w:r>
      <w:r>
        <w:rPr>
          <w:rFonts w:hint="eastAsia"/>
          <w:sz w:val="21"/>
          <w:szCs w:val="21"/>
          <w:lang w:val="en-US" w:eastAsia="zh-CN"/>
        </w:rPr>
        <w:t>中建电子信息技术有限公司</w:t>
      </w:r>
      <w:r>
        <w:rPr>
          <w:rFonts w:hint="eastAsia"/>
          <w:sz w:val="21"/>
          <w:szCs w:val="21"/>
        </w:rPr>
        <w:t>的运维管理有标准可依，给业务拓展增加了新的保障。同时，提高了人员的总体管理水平，有了明确的人员晋升机制、备份机制、人员考核机制、人员培训机制等，在一定程度上确保了人员的连续性，提高了客户的满意度。</w:t>
      </w:r>
    </w:p>
    <w:p w14:paraId="000A37FB">
      <w:pPr>
        <w:pStyle w:val="42"/>
        <w:spacing w:before="156" w:beforeLines="50" w:after="156" w:afterLines="50" w:line="360" w:lineRule="auto"/>
        <w:ind w:left="0" w:leftChars="0" w:firstLine="0" w:firstLineChars="0"/>
        <w:rPr>
          <w:rFonts w:hint="eastAsia" w:ascii="Arial" w:hAnsi="Arial" w:eastAsia="宋体" w:cs="Times New Roman"/>
          <w:kern w:val="0"/>
          <w:sz w:val="21"/>
          <w:szCs w:val="21"/>
          <w:lang w:val="en-US" w:eastAsia="en-US" w:bidi="ar-SA"/>
        </w:rPr>
      </w:pPr>
      <w:r>
        <w:rPr>
          <w:rFonts w:hint="eastAsia" w:ascii="Arial" w:hAnsi="Arial" w:eastAsia="宋体" w:cs="Times New Roman"/>
          <w:kern w:val="0"/>
          <w:sz w:val="21"/>
          <w:szCs w:val="21"/>
          <w:lang w:val="en-US" w:eastAsia="en-US" w:bidi="ar-SA"/>
        </w:rPr>
        <w:t>自从</w:t>
      </w:r>
      <w:r>
        <w:rPr>
          <w:rFonts w:hint="eastAsia" w:cs="Times New Roman"/>
          <w:kern w:val="0"/>
          <w:sz w:val="21"/>
          <w:szCs w:val="21"/>
          <w:lang w:val="en-US" w:eastAsia="zh-CN" w:bidi="ar-SA"/>
        </w:rPr>
        <w:t>2022年</w:t>
      </w:r>
      <w:r>
        <w:rPr>
          <w:rFonts w:hint="eastAsia" w:ascii="Arial" w:hAnsi="Arial" w:eastAsia="宋体" w:cs="Times New Roman"/>
          <w:kern w:val="0"/>
          <w:sz w:val="21"/>
          <w:szCs w:val="21"/>
          <w:lang w:val="en-US" w:eastAsia="en-US" w:bidi="ar-SA"/>
        </w:rPr>
        <w:t>公司建立 ITSS 体系之后，促进公司的发展：</w:t>
      </w:r>
    </w:p>
    <w:p w14:paraId="461CDCFF">
      <w:pPr>
        <w:pStyle w:val="42"/>
        <w:spacing w:before="156" w:beforeLines="50" w:after="156" w:afterLines="50" w:line="360" w:lineRule="auto"/>
        <w:ind w:left="0" w:leftChars="0" w:firstLine="0" w:firstLineChars="0"/>
        <w:rPr>
          <w:rFonts w:hint="eastAsia" w:ascii="Arial" w:hAnsi="Arial" w:eastAsia="宋体" w:cs="Times New Roman"/>
          <w:kern w:val="0"/>
          <w:sz w:val="21"/>
          <w:szCs w:val="21"/>
          <w:lang w:val="en-US" w:eastAsia="en-US" w:bidi="ar-SA"/>
        </w:rPr>
      </w:pPr>
      <w:r>
        <w:rPr>
          <w:rFonts w:hint="eastAsia" w:ascii="Arial" w:hAnsi="Arial" w:eastAsia="宋体" w:cs="Times New Roman"/>
          <w:kern w:val="0"/>
          <w:sz w:val="21"/>
          <w:szCs w:val="21"/>
          <w:lang w:val="en-US" w:eastAsia="en-US" w:bidi="ar-SA"/>
        </w:rPr>
        <w:t>1、促进运维业务的变革：实施运维服务能力成熟度级别，对运维业务重新进行审视和规划，并以运维业务的发展建立运维服务能力管理体系，促进公司业务的多元化发展。</w:t>
      </w:r>
    </w:p>
    <w:p w14:paraId="2544E692">
      <w:pPr>
        <w:pStyle w:val="42"/>
        <w:spacing w:before="156" w:beforeLines="50" w:after="156" w:afterLines="50" w:line="360" w:lineRule="auto"/>
        <w:ind w:left="0" w:leftChars="0" w:firstLine="0" w:firstLineChars="0"/>
        <w:rPr>
          <w:rFonts w:hint="eastAsia" w:ascii="Arial" w:hAnsi="Arial" w:eastAsia="宋体" w:cs="Times New Roman"/>
          <w:kern w:val="0"/>
          <w:sz w:val="21"/>
          <w:szCs w:val="21"/>
          <w:lang w:val="en-US" w:eastAsia="en-US" w:bidi="ar-SA"/>
        </w:rPr>
      </w:pPr>
      <w:r>
        <w:rPr>
          <w:rFonts w:hint="eastAsia" w:ascii="Arial" w:hAnsi="Arial" w:eastAsia="宋体" w:cs="Times New Roman"/>
          <w:kern w:val="0"/>
          <w:sz w:val="21"/>
          <w:szCs w:val="21"/>
          <w:lang w:val="en-US" w:eastAsia="en-US" w:bidi="ar-SA"/>
        </w:rPr>
        <w:t>2、提升运维业务收入：随着 ITSS 的宣贯和推广，越来越多的客户对 ITSS 有了极高的认可度，为企业的招投标带来了优势，增加了运维业务的收入。</w:t>
      </w:r>
    </w:p>
    <w:p w14:paraId="2F646488">
      <w:pPr>
        <w:pStyle w:val="42"/>
        <w:spacing w:before="156" w:beforeLines="50" w:after="156" w:afterLines="50" w:line="360" w:lineRule="auto"/>
        <w:ind w:left="0" w:leftChars="0" w:firstLine="0" w:firstLineChars="0"/>
        <w:rPr>
          <w:rFonts w:hint="eastAsia" w:ascii="Arial" w:hAnsi="Arial" w:eastAsia="宋体" w:cs="Times New Roman"/>
          <w:kern w:val="0"/>
          <w:sz w:val="21"/>
          <w:szCs w:val="21"/>
          <w:lang w:val="en-US" w:eastAsia="en-US" w:bidi="ar-SA"/>
        </w:rPr>
      </w:pPr>
      <w:r>
        <w:rPr>
          <w:rFonts w:hint="eastAsia" w:ascii="Arial" w:hAnsi="Arial" w:eastAsia="宋体" w:cs="Times New Roman"/>
          <w:kern w:val="0"/>
          <w:sz w:val="21"/>
          <w:szCs w:val="21"/>
          <w:lang w:val="en-US" w:eastAsia="en-US" w:bidi="ar-SA"/>
        </w:rPr>
        <w:t>3、提高企业知名度：通过 ITSS 认证，在行业内有效提升自身的知名度，让客户更放心将运维服务工作外包给我们，更有信心为客户提供高质量的服务。</w:t>
      </w:r>
    </w:p>
    <w:p w14:paraId="5282C53D">
      <w:pPr>
        <w:pStyle w:val="42"/>
        <w:spacing w:before="156" w:beforeLines="50" w:after="156" w:afterLines="50" w:line="360" w:lineRule="auto"/>
        <w:ind w:left="0" w:leftChars="0" w:firstLine="0" w:firstLineChars="0"/>
        <w:rPr>
          <w:rFonts w:hint="eastAsia" w:ascii="Arial" w:hAnsi="Arial" w:eastAsia="宋体" w:cs="Times New Roman"/>
          <w:kern w:val="0"/>
          <w:sz w:val="21"/>
          <w:szCs w:val="21"/>
          <w:lang w:val="en-US" w:eastAsia="en-US" w:bidi="ar-SA"/>
        </w:rPr>
      </w:pPr>
      <w:r>
        <w:rPr>
          <w:rFonts w:hint="eastAsia" w:ascii="Arial" w:hAnsi="Arial" w:eastAsia="宋体" w:cs="Times New Roman"/>
          <w:kern w:val="0"/>
          <w:sz w:val="21"/>
          <w:szCs w:val="21"/>
          <w:lang w:val="en-US" w:eastAsia="en-US" w:bidi="ar-SA"/>
        </w:rPr>
        <w:t>4、提高运维服务效率：通过引入 ITSS，以运维服务业务目标为导向，建立量化的、流程化的运维服务管理体系，分析运维服务过程，为进一步提升运维服务效率找到提升空间。</w:t>
      </w:r>
    </w:p>
    <w:p w14:paraId="668D70FB">
      <w:pPr>
        <w:pStyle w:val="42"/>
        <w:spacing w:before="156" w:beforeLines="50" w:after="156" w:afterLines="50" w:line="360" w:lineRule="auto"/>
        <w:ind w:left="0" w:leftChars="0" w:firstLine="0" w:firstLineChars="0"/>
        <w:rPr>
          <w:rFonts w:hint="eastAsia" w:ascii="Arial" w:hAnsi="Arial" w:eastAsia="宋体" w:cs="Times New Roman"/>
          <w:kern w:val="0"/>
          <w:sz w:val="21"/>
          <w:szCs w:val="21"/>
          <w:lang w:val="en-US" w:eastAsia="en-US" w:bidi="ar-SA"/>
        </w:rPr>
      </w:pPr>
      <w:r>
        <w:rPr>
          <w:rFonts w:hint="eastAsia" w:ascii="Arial" w:hAnsi="Arial" w:eastAsia="宋体" w:cs="Times New Roman"/>
          <w:kern w:val="0"/>
          <w:sz w:val="21"/>
          <w:szCs w:val="21"/>
          <w:lang w:val="en-US" w:eastAsia="en-US" w:bidi="ar-SA"/>
        </w:rPr>
        <w:t>5、降低运维服务成本：通过引入 ITSS，建立运维业务与运维服务成本之间的关系，梳理各项运维服务成本，准确掌握运维服务资源使用情况，平衡资源配置，有效降低运维服务成本。</w:t>
      </w:r>
    </w:p>
    <w:p w14:paraId="5F72B2E3">
      <w:pPr>
        <w:pStyle w:val="12"/>
        <w:spacing w:line="360" w:lineRule="auto"/>
        <w:rPr>
          <w:rFonts w:hint="eastAsia" w:ascii="Arial" w:hAnsi="Arial" w:eastAsia="宋体" w:cs="Times New Roman"/>
          <w:kern w:val="0"/>
          <w:sz w:val="21"/>
          <w:szCs w:val="21"/>
          <w:lang w:val="en-US" w:eastAsia="en-US" w:bidi="ar-SA"/>
        </w:rPr>
      </w:pPr>
      <w:r>
        <w:rPr>
          <w:rFonts w:hint="eastAsia" w:ascii="Arial" w:hAnsi="Arial" w:eastAsia="宋体" w:cs="Times New Roman"/>
          <w:kern w:val="0"/>
          <w:sz w:val="21"/>
          <w:szCs w:val="21"/>
          <w:lang w:val="en-US" w:eastAsia="en-US" w:bidi="ar-SA"/>
        </w:rPr>
        <w:t>6、促进企业创新：通过引入 ITSS，建立以客户需求和服务为导向的服务意识，在提升员工能力的同时，激发员工以业务视角创新服务，如运维人员以客户服务为导向改善保障流程。</w:t>
      </w:r>
    </w:p>
    <w:p w14:paraId="325B1A94">
      <w:pPr>
        <w:pStyle w:val="2"/>
        <w:numPr>
          <w:ilvl w:val="0"/>
          <w:numId w:val="2"/>
        </w:numPr>
        <w:ind w:left="852" w:hanging="525"/>
        <w:rPr>
          <w:rFonts w:hint="default" w:ascii="宋体" w:hAnsi="宋体" w:cs="Times New Roman"/>
          <w:sz w:val="30"/>
          <w:szCs w:val="30"/>
          <w:lang w:val="en-US" w:eastAsia="zh-CN"/>
        </w:rPr>
      </w:pPr>
      <w:bookmarkStart w:id="8" w:name="_Toc8004"/>
      <w:bookmarkStart w:id="9" w:name="_Toc19784"/>
      <w:bookmarkStart w:id="10" w:name="_Toc2201"/>
      <w:r>
        <w:rPr>
          <w:rFonts w:hint="eastAsia" w:ascii="宋体" w:hAnsi="宋体" w:cs="Times New Roman"/>
          <w:sz w:val="30"/>
          <w:szCs w:val="30"/>
          <w:lang w:val="en-US" w:eastAsia="zh-CN"/>
        </w:rPr>
        <w:t>业务发展情况</w:t>
      </w:r>
      <w:bookmarkEnd w:id="8"/>
      <w:bookmarkEnd w:id="9"/>
      <w:bookmarkEnd w:id="10"/>
    </w:p>
    <w:p w14:paraId="3CA569CC">
      <w:pPr>
        <w:spacing w:before="156" w:beforeLines="50" w:after="156" w:afterLines="50" w:line="360" w:lineRule="auto"/>
        <w:ind w:firstLine="420" w:firstLineChars="200"/>
        <w:rPr>
          <w:rFonts w:ascii="Arial" w:hAnsi="Arial" w:eastAsia="宋体" w:cs="Times New Roman"/>
          <w:kern w:val="0"/>
          <w:sz w:val="21"/>
          <w:szCs w:val="21"/>
          <w:lang w:val="en-US" w:eastAsia="zh-CN" w:bidi="ar-SA"/>
        </w:rPr>
      </w:pPr>
      <w:bookmarkStart w:id="11" w:name="_Toc237753082"/>
      <w:bookmarkStart w:id="12" w:name="_Toc401682270"/>
      <w:bookmarkStart w:id="13" w:name="_Toc367798718"/>
      <w:bookmarkStart w:id="14" w:name="_Toc414394079"/>
      <w:r>
        <w:rPr>
          <w:rFonts w:hint="eastAsia" w:cs="Times New Roman"/>
          <w:kern w:val="0"/>
          <w:sz w:val="21"/>
          <w:szCs w:val="21"/>
          <w:lang w:val="en-US" w:eastAsia="zh-CN" w:bidi="ar-SA"/>
        </w:rPr>
        <w:t>2022年</w:t>
      </w:r>
      <w:r>
        <w:rPr>
          <w:rFonts w:hint="eastAsia" w:ascii="Arial" w:hAnsi="Arial" w:cs="Times New Roman"/>
          <w:kern w:val="0"/>
          <w:sz w:val="21"/>
          <w:szCs w:val="21"/>
          <w:lang w:val="en-US" w:eastAsia="zh-CN" w:bidi="ar-SA"/>
        </w:rPr>
        <w:t>开始</w:t>
      </w:r>
      <w:r>
        <w:rPr>
          <w:rFonts w:hint="eastAsia" w:ascii="Arial" w:hAnsi="Arial" w:eastAsia="宋体" w:cs="Times New Roman"/>
          <w:kern w:val="0"/>
          <w:sz w:val="21"/>
          <w:szCs w:val="21"/>
          <w:lang w:val="en-US" w:eastAsia="zh-CN" w:bidi="ar-SA"/>
        </w:rPr>
        <w:t>建立I</w:t>
      </w:r>
      <w:r>
        <w:rPr>
          <w:rFonts w:ascii="Arial" w:hAnsi="Arial" w:eastAsia="宋体" w:cs="Times New Roman"/>
          <w:kern w:val="0"/>
          <w:sz w:val="21"/>
          <w:szCs w:val="21"/>
          <w:lang w:val="en-US" w:eastAsia="zh-CN" w:bidi="ar-SA"/>
        </w:rPr>
        <w:t>TSS</w:t>
      </w:r>
      <w:r>
        <w:rPr>
          <w:rFonts w:hint="eastAsia" w:ascii="Arial" w:hAnsi="Arial" w:eastAsia="宋体" w:cs="Times New Roman"/>
          <w:kern w:val="0"/>
          <w:sz w:val="21"/>
          <w:szCs w:val="21"/>
          <w:lang w:val="en-US" w:eastAsia="zh-CN" w:bidi="ar-SA"/>
        </w:rPr>
        <w:t>体系后2</w:t>
      </w:r>
      <w:r>
        <w:rPr>
          <w:rFonts w:ascii="Arial" w:hAnsi="Arial" w:eastAsia="宋体" w:cs="Times New Roman"/>
          <w:kern w:val="0"/>
          <w:sz w:val="21"/>
          <w:szCs w:val="21"/>
          <w:lang w:val="en-US" w:eastAsia="zh-CN" w:bidi="ar-SA"/>
        </w:rPr>
        <w:t>02</w:t>
      </w:r>
      <w:r>
        <w:rPr>
          <w:rFonts w:hint="eastAsia" w:ascii="Arial" w:hAnsi="Arial" w:cs="Times New Roman"/>
          <w:kern w:val="0"/>
          <w:sz w:val="21"/>
          <w:szCs w:val="21"/>
          <w:lang w:val="en-US" w:eastAsia="zh-CN" w:bidi="ar-SA"/>
        </w:rPr>
        <w:t>2</w:t>
      </w:r>
      <w:r>
        <w:rPr>
          <w:rFonts w:hint="eastAsia" w:ascii="Arial" w:hAnsi="Arial" w:eastAsia="宋体" w:cs="Times New Roman"/>
          <w:kern w:val="0"/>
          <w:sz w:val="21"/>
          <w:szCs w:val="21"/>
          <w:lang w:val="en-US" w:eastAsia="zh-CN" w:bidi="ar-SA"/>
        </w:rPr>
        <w:t>年业务收入</w:t>
      </w:r>
      <w:r>
        <w:rPr>
          <w:rFonts w:hint="eastAsia" w:cs="Times New Roman"/>
          <w:kern w:val="0"/>
          <w:sz w:val="21"/>
          <w:szCs w:val="21"/>
          <w:lang w:val="en-US" w:eastAsia="zh-CN" w:bidi="ar-SA"/>
        </w:rPr>
        <w:t>300</w:t>
      </w:r>
      <w:r>
        <w:rPr>
          <w:rFonts w:hint="eastAsia" w:ascii="Arial" w:hAnsi="Arial" w:eastAsia="宋体" w:cs="Times New Roman"/>
          <w:kern w:val="0"/>
          <w:sz w:val="21"/>
          <w:szCs w:val="21"/>
          <w:lang w:val="en-US" w:eastAsia="zh-CN" w:bidi="ar-SA"/>
        </w:rPr>
        <w:t>万元，</w:t>
      </w:r>
      <w:r>
        <w:rPr>
          <w:rFonts w:ascii="Arial" w:hAnsi="Arial" w:eastAsia="宋体" w:cs="Times New Roman"/>
          <w:kern w:val="0"/>
          <w:sz w:val="21"/>
          <w:szCs w:val="21"/>
          <w:lang w:val="en-US" w:eastAsia="zh-CN" w:bidi="ar-SA"/>
        </w:rPr>
        <w:t>202</w:t>
      </w:r>
      <w:r>
        <w:rPr>
          <w:rFonts w:hint="eastAsia" w:ascii="Arial" w:hAnsi="Arial" w:cs="Times New Roman"/>
          <w:kern w:val="0"/>
          <w:sz w:val="21"/>
          <w:szCs w:val="21"/>
          <w:lang w:val="en-US" w:eastAsia="zh-CN" w:bidi="ar-SA"/>
        </w:rPr>
        <w:t>3</w:t>
      </w:r>
      <w:r>
        <w:rPr>
          <w:rFonts w:ascii="Arial" w:hAnsi="Arial" w:eastAsia="宋体" w:cs="Times New Roman"/>
          <w:kern w:val="0"/>
          <w:sz w:val="21"/>
          <w:szCs w:val="21"/>
          <w:lang w:val="en-US" w:eastAsia="zh-CN" w:bidi="ar-SA"/>
        </w:rPr>
        <w:t>年业务收入</w:t>
      </w:r>
      <w:r>
        <w:rPr>
          <w:rFonts w:hint="eastAsia" w:cs="Times New Roman"/>
          <w:kern w:val="0"/>
          <w:sz w:val="21"/>
          <w:szCs w:val="21"/>
          <w:lang w:val="en-US" w:eastAsia="zh-CN" w:bidi="ar-SA"/>
        </w:rPr>
        <w:t>390</w:t>
      </w:r>
      <w:r>
        <w:rPr>
          <w:rFonts w:ascii="Arial" w:hAnsi="Arial" w:eastAsia="宋体" w:cs="Times New Roman"/>
          <w:kern w:val="0"/>
          <w:sz w:val="21"/>
          <w:szCs w:val="21"/>
          <w:lang w:val="en-US" w:eastAsia="zh-CN" w:bidi="ar-SA"/>
        </w:rPr>
        <w:t>万元</w:t>
      </w:r>
      <w:r>
        <w:rPr>
          <w:rFonts w:hint="eastAsia" w:ascii="Arial" w:hAnsi="Arial" w:eastAsia="宋体" w:cs="Times New Roman"/>
          <w:kern w:val="0"/>
          <w:sz w:val="21"/>
          <w:szCs w:val="21"/>
          <w:lang w:val="en-US" w:eastAsia="zh-CN" w:bidi="ar-SA"/>
        </w:rPr>
        <w:t>。</w:t>
      </w:r>
      <w:r>
        <w:rPr>
          <w:rFonts w:hint="eastAsia" w:ascii="Arial" w:hAnsi="Arial" w:cs="Times New Roman"/>
          <w:kern w:val="0"/>
          <w:sz w:val="21"/>
          <w:szCs w:val="21"/>
          <w:lang w:val="en-US" w:eastAsia="zh-CN" w:bidi="ar-SA"/>
        </w:rPr>
        <w:t>2024收入</w:t>
      </w:r>
      <w:r>
        <w:rPr>
          <w:rFonts w:hint="eastAsia" w:cs="Times New Roman"/>
          <w:kern w:val="0"/>
          <w:sz w:val="21"/>
          <w:szCs w:val="21"/>
          <w:lang w:val="en-US" w:eastAsia="zh-CN" w:bidi="ar-SA"/>
        </w:rPr>
        <w:t>500</w:t>
      </w:r>
      <w:r>
        <w:rPr>
          <w:rFonts w:hint="eastAsia" w:ascii="Arial" w:hAnsi="Arial" w:cs="Times New Roman"/>
          <w:kern w:val="0"/>
          <w:sz w:val="21"/>
          <w:szCs w:val="21"/>
          <w:lang w:val="en-US" w:eastAsia="zh-CN" w:bidi="ar-SA"/>
        </w:rPr>
        <w:t>万元，</w:t>
      </w:r>
      <w:r>
        <w:rPr>
          <w:rFonts w:hint="eastAsia" w:cs="Times New Roman"/>
          <w:kern w:val="0"/>
          <w:sz w:val="21"/>
          <w:szCs w:val="21"/>
          <w:lang w:val="en-US" w:eastAsia="zh-CN" w:bidi="ar-SA"/>
        </w:rPr>
        <w:t>2025年计划收入670万元</w:t>
      </w:r>
      <w:r>
        <w:rPr>
          <w:rFonts w:hint="eastAsia" w:ascii="Arial" w:hAnsi="Arial" w:cs="Times New Roman"/>
          <w:kern w:val="0"/>
          <w:sz w:val="21"/>
          <w:szCs w:val="21"/>
          <w:lang w:val="en-US" w:eastAsia="zh-CN" w:bidi="ar-SA"/>
        </w:rPr>
        <w:t>202</w:t>
      </w:r>
      <w:r>
        <w:rPr>
          <w:rFonts w:hint="eastAsia" w:cs="Times New Roman"/>
          <w:kern w:val="0"/>
          <w:sz w:val="21"/>
          <w:szCs w:val="21"/>
          <w:lang w:val="en-US" w:eastAsia="zh-CN" w:bidi="ar-SA"/>
        </w:rPr>
        <w:t>5</w:t>
      </w:r>
      <w:r>
        <w:rPr>
          <w:rFonts w:hint="eastAsia" w:ascii="Arial" w:hAnsi="Arial" w:cs="Times New Roman"/>
          <w:kern w:val="0"/>
          <w:sz w:val="21"/>
          <w:szCs w:val="21"/>
          <w:lang w:val="en-US" w:eastAsia="zh-CN" w:bidi="ar-SA"/>
        </w:rPr>
        <w:t>年截至1</w:t>
      </w:r>
      <w:r>
        <w:rPr>
          <w:rFonts w:hint="eastAsia" w:cs="Times New Roman"/>
          <w:kern w:val="0"/>
          <w:sz w:val="21"/>
          <w:szCs w:val="21"/>
          <w:lang w:val="en-US" w:eastAsia="zh-CN" w:bidi="ar-SA"/>
        </w:rPr>
        <w:t>0</w:t>
      </w:r>
      <w:r>
        <w:rPr>
          <w:rFonts w:hint="eastAsia" w:ascii="Arial" w:hAnsi="Arial" w:cs="Times New Roman"/>
          <w:kern w:val="0"/>
          <w:sz w:val="21"/>
          <w:szCs w:val="21"/>
          <w:lang w:val="en-US" w:eastAsia="zh-CN" w:bidi="ar-SA"/>
        </w:rPr>
        <w:t>月业务收入</w:t>
      </w:r>
      <w:r>
        <w:rPr>
          <w:rFonts w:hint="eastAsia" w:cs="Times New Roman"/>
          <w:kern w:val="0"/>
          <w:sz w:val="21"/>
          <w:szCs w:val="21"/>
          <w:lang w:val="en-US" w:eastAsia="zh-CN" w:bidi="ar-SA"/>
        </w:rPr>
        <w:t>530</w:t>
      </w:r>
      <w:r>
        <w:rPr>
          <w:rFonts w:hint="eastAsia" w:ascii="Arial" w:hAnsi="Arial" w:cs="Times New Roman"/>
          <w:kern w:val="0"/>
          <w:sz w:val="21"/>
          <w:szCs w:val="21"/>
          <w:lang w:val="en-US" w:eastAsia="zh-CN" w:bidi="ar-SA"/>
        </w:rPr>
        <w:t>万元。</w:t>
      </w:r>
      <w:r>
        <w:rPr>
          <w:rFonts w:hint="eastAsia" w:ascii="Arial" w:hAnsi="Arial" w:eastAsia="宋体" w:cs="Times New Roman"/>
          <w:kern w:val="0"/>
          <w:sz w:val="21"/>
          <w:szCs w:val="21"/>
          <w:lang w:val="en-US" w:eastAsia="zh-CN" w:bidi="ar-SA"/>
        </w:rPr>
        <w:t>从2</w:t>
      </w:r>
      <w:r>
        <w:rPr>
          <w:rFonts w:ascii="Arial" w:hAnsi="Arial" w:eastAsia="宋体" w:cs="Times New Roman"/>
          <w:kern w:val="0"/>
          <w:sz w:val="21"/>
          <w:szCs w:val="21"/>
          <w:lang w:val="en-US" w:eastAsia="zh-CN" w:bidi="ar-SA"/>
        </w:rPr>
        <w:t>0</w:t>
      </w:r>
      <w:r>
        <w:rPr>
          <w:rFonts w:hint="eastAsia" w:cs="Times New Roman"/>
          <w:kern w:val="0"/>
          <w:sz w:val="21"/>
          <w:szCs w:val="21"/>
          <w:lang w:val="en-US" w:eastAsia="zh-CN" w:bidi="ar-SA"/>
        </w:rPr>
        <w:t>22</w:t>
      </w:r>
      <w:r>
        <w:rPr>
          <w:rFonts w:hint="eastAsia" w:ascii="Arial" w:hAnsi="Arial" w:eastAsia="宋体" w:cs="Times New Roman"/>
          <w:kern w:val="0"/>
          <w:sz w:val="21"/>
          <w:szCs w:val="21"/>
          <w:lang w:val="en-US" w:eastAsia="zh-CN" w:bidi="ar-SA"/>
        </w:rPr>
        <w:t>-20</w:t>
      </w:r>
      <w:r>
        <w:rPr>
          <w:rFonts w:hint="eastAsia" w:cs="Times New Roman"/>
          <w:kern w:val="0"/>
          <w:sz w:val="21"/>
          <w:szCs w:val="21"/>
          <w:lang w:val="en-US" w:eastAsia="zh-CN" w:bidi="ar-SA"/>
        </w:rPr>
        <w:t>25</w:t>
      </w:r>
      <w:r>
        <w:rPr>
          <w:rFonts w:hint="eastAsia" w:ascii="Arial" w:hAnsi="Arial" w:eastAsia="宋体" w:cs="Times New Roman"/>
          <w:kern w:val="0"/>
          <w:sz w:val="21"/>
          <w:szCs w:val="21"/>
          <w:lang w:val="en-US" w:eastAsia="zh-CN" w:bidi="ar-SA"/>
        </w:rPr>
        <w:t>年</w:t>
      </w:r>
      <w:r>
        <w:rPr>
          <w:rFonts w:hint="eastAsia" w:ascii="Arial" w:hAnsi="Arial" w:cs="Times New Roman"/>
          <w:kern w:val="0"/>
          <w:sz w:val="21"/>
          <w:szCs w:val="21"/>
          <w:lang w:val="en-US" w:eastAsia="zh-CN" w:bidi="ar-SA"/>
        </w:rPr>
        <w:t>1</w:t>
      </w:r>
      <w:r>
        <w:rPr>
          <w:rFonts w:hint="eastAsia" w:cs="Times New Roman"/>
          <w:kern w:val="0"/>
          <w:sz w:val="21"/>
          <w:szCs w:val="21"/>
          <w:lang w:val="en-US" w:eastAsia="zh-CN" w:bidi="ar-SA"/>
        </w:rPr>
        <w:t>0</w:t>
      </w:r>
      <w:r>
        <w:rPr>
          <w:rFonts w:hint="eastAsia" w:ascii="Arial" w:hAnsi="Arial" w:cs="Times New Roman"/>
          <w:kern w:val="0"/>
          <w:sz w:val="21"/>
          <w:szCs w:val="21"/>
          <w:lang w:val="en-US" w:eastAsia="zh-CN" w:bidi="ar-SA"/>
        </w:rPr>
        <w:t>月</w:t>
      </w:r>
      <w:r>
        <w:rPr>
          <w:rFonts w:hint="eastAsia" w:ascii="Arial" w:hAnsi="Arial" w:eastAsia="宋体" w:cs="Times New Roman"/>
          <w:kern w:val="0"/>
          <w:sz w:val="21"/>
          <w:szCs w:val="21"/>
          <w:lang w:val="en-US" w:eastAsia="zh-CN" w:bidi="ar-SA"/>
        </w:rPr>
        <w:t>的运维收入来看，公司的业务收入已经有大幅的增长，每年为正增长趋势。</w:t>
      </w:r>
      <w:r>
        <w:rPr>
          <w:rFonts w:hint="eastAsia" w:cs="Times New Roman"/>
          <w:kern w:val="0"/>
          <w:sz w:val="21"/>
          <w:szCs w:val="21"/>
          <w:lang w:val="en-US" w:eastAsia="zh-CN" w:bidi="ar-SA"/>
        </w:rPr>
        <w:t>2022</w:t>
      </w:r>
      <w:r>
        <w:rPr>
          <w:rFonts w:hint="eastAsia" w:ascii="Arial" w:hAnsi="Arial" w:eastAsia="宋体" w:cs="Times New Roman"/>
          <w:kern w:val="0"/>
          <w:sz w:val="21"/>
          <w:szCs w:val="21"/>
          <w:lang w:val="en-US" w:eastAsia="zh-CN" w:bidi="ar-SA"/>
        </w:rPr>
        <w:t>年度公司业务仅覆盖</w:t>
      </w:r>
      <w:r>
        <w:rPr>
          <w:rFonts w:hint="eastAsia" w:cs="Times New Roman"/>
          <w:kern w:val="0"/>
          <w:sz w:val="21"/>
          <w:szCs w:val="21"/>
          <w:lang w:val="en-US" w:eastAsia="zh-CN" w:bidi="ar-SA"/>
        </w:rPr>
        <w:t>天津</w:t>
      </w:r>
      <w:r>
        <w:rPr>
          <w:rFonts w:hint="eastAsia" w:ascii="Arial" w:hAnsi="Arial" w:eastAsia="宋体" w:cs="Times New Roman"/>
          <w:kern w:val="0"/>
          <w:sz w:val="21"/>
          <w:szCs w:val="21"/>
          <w:lang w:val="en-US" w:eastAsia="zh-CN" w:bidi="ar-SA"/>
        </w:rPr>
        <w:t>部分地区，目前公司业务已经覆盖全</w:t>
      </w:r>
      <w:r>
        <w:rPr>
          <w:rFonts w:hint="eastAsia" w:cs="Times New Roman"/>
          <w:kern w:val="0"/>
          <w:sz w:val="21"/>
          <w:szCs w:val="21"/>
          <w:lang w:val="en-US" w:eastAsia="zh-CN" w:bidi="ar-SA"/>
        </w:rPr>
        <w:t>天津</w:t>
      </w:r>
      <w:r>
        <w:rPr>
          <w:rFonts w:hint="eastAsia" w:ascii="Arial" w:hAnsi="Arial" w:eastAsia="宋体" w:cs="Times New Roman"/>
          <w:kern w:val="0"/>
          <w:sz w:val="21"/>
          <w:szCs w:val="21"/>
          <w:lang w:val="en-US" w:eastAsia="zh-CN" w:bidi="ar-SA"/>
        </w:rPr>
        <w:t>地区，并且正在向外省拓展，</w:t>
      </w:r>
      <w:r>
        <w:rPr>
          <w:rFonts w:hint="eastAsia" w:ascii="Arial" w:hAnsi="Arial" w:cs="Times New Roman"/>
          <w:kern w:val="0"/>
          <w:sz w:val="21"/>
          <w:szCs w:val="21"/>
          <w:lang w:val="en-US" w:eastAsia="zh-CN" w:bidi="ar-SA"/>
        </w:rPr>
        <w:t>并且</w:t>
      </w:r>
      <w:r>
        <w:rPr>
          <w:rFonts w:hint="default" w:ascii="Arial" w:hAnsi="Arial" w:eastAsia="宋体" w:cs="Times New Roman"/>
          <w:kern w:val="0"/>
          <w:sz w:val="21"/>
          <w:szCs w:val="21"/>
          <w:lang w:val="en-US" w:eastAsia="zh-CN" w:bidi="ar-SA"/>
        </w:rPr>
        <w:t>促进</w:t>
      </w:r>
      <w:r>
        <w:rPr>
          <w:rFonts w:hint="eastAsia" w:ascii="Arial" w:hAnsi="Arial" w:cs="Times New Roman"/>
          <w:kern w:val="0"/>
          <w:sz w:val="21"/>
          <w:szCs w:val="21"/>
          <w:lang w:val="en-US" w:eastAsia="zh-CN" w:bidi="ar-SA"/>
        </w:rPr>
        <w:t>了</w:t>
      </w:r>
      <w:r>
        <w:rPr>
          <w:rFonts w:hint="default" w:ascii="Arial" w:hAnsi="Arial" w:eastAsia="宋体" w:cs="Times New Roman"/>
          <w:kern w:val="0"/>
          <w:sz w:val="21"/>
          <w:szCs w:val="21"/>
          <w:lang w:val="en-US" w:eastAsia="zh-CN" w:bidi="ar-SA"/>
        </w:rPr>
        <w:t>公司业务的多元化发展</w:t>
      </w:r>
      <w:r>
        <w:rPr>
          <w:rFonts w:hint="eastAsia" w:ascii="Arial" w:hAnsi="Arial" w:eastAsia="宋体" w:cs="Times New Roman"/>
          <w:kern w:val="0"/>
          <w:sz w:val="21"/>
          <w:szCs w:val="21"/>
          <w:lang w:val="en-US" w:eastAsia="zh-CN" w:bidi="ar-SA"/>
        </w:rPr>
        <w:t>。从</w:t>
      </w:r>
      <w:r>
        <w:rPr>
          <w:rFonts w:hint="eastAsia" w:cs="Times New Roman"/>
          <w:kern w:val="0"/>
          <w:sz w:val="21"/>
          <w:szCs w:val="21"/>
          <w:lang w:val="en-US" w:eastAsia="zh-CN" w:bidi="ar-SA"/>
        </w:rPr>
        <w:t>2022</w:t>
      </w:r>
      <w:r>
        <w:rPr>
          <w:rFonts w:hint="eastAsia" w:ascii="Arial" w:hAnsi="Arial" w:eastAsia="宋体" w:cs="Times New Roman"/>
          <w:kern w:val="0"/>
          <w:sz w:val="21"/>
          <w:szCs w:val="21"/>
          <w:lang w:val="en-US" w:eastAsia="zh-CN" w:bidi="ar-SA"/>
        </w:rPr>
        <w:t>体系运行至今，公司营收逐年递增，客户认可度也越来越高，公司正逐步扩张。公司将持续运行 ITSS 体系，提升自身能力，提高客户认可度。</w:t>
      </w:r>
      <w:r>
        <w:rPr>
          <w:rFonts w:hint="eastAsia" w:ascii="Arial" w:hAnsi="Arial" w:cs="Times New Roman"/>
          <w:kern w:val="0"/>
          <w:sz w:val="21"/>
          <w:szCs w:val="21"/>
          <w:lang w:val="en-US" w:eastAsia="zh-CN" w:bidi="ar-SA"/>
        </w:rPr>
        <w:t>通</w:t>
      </w:r>
      <w:r>
        <w:rPr>
          <w:rFonts w:hint="eastAsia" w:ascii="Arial" w:hAnsi="Arial" w:eastAsia="宋体" w:cs="Times New Roman"/>
          <w:kern w:val="0"/>
          <w:sz w:val="21"/>
          <w:szCs w:val="21"/>
          <w:lang w:val="en-US" w:eastAsia="zh-CN" w:bidi="ar-SA"/>
        </w:rPr>
        <w:t>过引入ITSS，运维服务企业可以以运维服务业务目标为导向，建立流程化的运维服务管理体系，分析运维服务过程，为进一步提升运维服务效率找到提升空间。运维服务企业可以建立运维业务与运维服务成本之间的关系，梳理各项运维服务成本，准确掌握运维服务资源使用情况，平衡资源配置，有效降低运维服务成本。</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990"/>
        <w:gridCol w:w="990"/>
        <w:gridCol w:w="990"/>
        <w:gridCol w:w="1692"/>
      </w:tblGrid>
      <w:tr w14:paraId="491E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0" w:type="auto"/>
            <w:noWrap/>
          </w:tcPr>
          <w:p w14:paraId="4D6FC9E3">
            <w:pPr>
              <w:spacing w:before="156" w:beforeLines="50" w:after="156" w:afterLines="50" w:line="360" w:lineRule="auto"/>
              <w:rPr>
                <w:sz w:val="24"/>
              </w:rPr>
            </w:pPr>
            <w:r>
              <w:rPr>
                <w:rFonts w:hint="eastAsia"/>
                <w:sz w:val="24"/>
              </w:rPr>
              <w:t>统计内容</w:t>
            </w:r>
          </w:p>
        </w:tc>
        <w:tc>
          <w:tcPr>
            <w:tcW w:w="0" w:type="auto"/>
            <w:shd w:val="clear" w:color="auto" w:fill="auto"/>
            <w:noWrap/>
            <w:vAlign w:val="top"/>
          </w:tcPr>
          <w:p w14:paraId="1B02AAFA">
            <w:pPr>
              <w:spacing w:before="156" w:beforeLines="50" w:after="156" w:afterLines="50" w:line="360" w:lineRule="auto"/>
              <w:rPr>
                <w:rFonts w:hint="eastAsia" w:ascii="Calibri" w:hAnsi="Calibri" w:eastAsia="宋体" w:cs="Times New Roman"/>
                <w:kern w:val="2"/>
                <w:sz w:val="24"/>
                <w:szCs w:val="22"/>
                <w:lang w:val="en-US" w:eastAsia="zh-CN" w:bidi="ar-SA"/>
              </w:rPr>
            </w:pPr>
            <w:r>
              <w:rPr>
                <w:rFonts w:hint="eastAsia"/>
                <w:sz w:val="24"/>
              </w:rPr>
              <w:t>20</w:t>
            </w:r>
            <w:r>
              <w:rPr>
                <w:rFonts w:hint="eastAsia"/>
                <w:sz w:val="24"/>
                <w:lang w:val="en-US" w:eastAsia="zh-CN"/>
              </w:rPr>
              <w:t>22</w:t>
            </w:r>
            <w:r>
              <w:rPr>
                <w:rFonts w:hint="eastAsia"/>
                <w:sz w:val="24"/>
              </w:rPr>
              <w:t>年</w:t>
            </w:r>
          </w:p>
        </w:tc>
        <w:tc>
          <w:tcPr>
            <w:tcW w:w="0" w:type="auto"/>
            <w:shd w:val="clear" w:color="auto" w:fill="auto"/>
            <w:noWrap/>
            <w:vAlign w:val="top"/>
          </w:tcPr>
          <w:p w14:paraId="3851E971">
            <w:pPr>
              <w:spacing w:before="156" w:beforeLines="50" w:after="156" w:afterLines="50" w:line="360" w:lineRule="auto"/>
              <w:rPr>
                <w:rFonts w:hint="eastAsia" w:ascii="Calibri" w:hAnsi="Calibri" w:eastAsia="宋体" w:cs="Times New Roman"/>
                <w:kern w:val="2"/>
                <w:sz w:val="24"/>
                <w:szCs w:val="22"/>
                <w:lang w:val="en-US" w:eastAsia="zh-CN" w:bidi="ar-SA"/>
              </w:rPr>
            </w:pPr>
            <w:r>
              <w:rPr>
                <w:rFonts w:hint="eastAsia"/>
                <w:sz w:val="24"/>
              </w:rPr>
              <w:t>202</w:t>
            </w:r>
            <w:r>
              <w:rPr>
                <w:rFonts w:hint="eastAsia"/>
                <w:sz w:val="24"/>
                <w:lang w:val="en-US" w:eastAsia="zh-CN"/>
              </w:rPr>
              <w:t>3</w:t>
            </w:r>
            <w:r>
              <w:rPr>
                <w:rFonts w:hint="eastAsia"/>
                <w:sz w:val="24"/>
              </w:rPr>
              <w:t>年</w:t>
            </w:r>
          </w:p>
        </w:tc>
        <w:tc>
          <w:tcPr>
            <w:tcW w:w="0" w:type="auto"/>
            <w:shd w:val="clear" w:color="auto" w:fill="auto"/>
            <w:noWrap/>
            <w:vAlign w:val="top"/>
          </w:tcPr>
          <w:p w14:paraId="5D32E96C">
            <w:pPr>
              <w:spacing w:before="156" w:beforeLines="50" w:after="156" w:afterLines="50" w:line="360" w:lineRule="auto"/>
              <w:rPr>
                <w:rFonts w:hint="eastAsia" w:ascii="Calibri" w:hAnsi="Calibri" w:eastAsia="宋体" w:cs="Times New Roman"/>
                <w:kern w:val="2"/>
                <w:sz w:val="24"/>
                <w:szCs w:val="22"/>
                <w:lang w:val="en-US" w:eastAsia="zh-CN" w:bidi="ar-SA"/>
              </w:rPr>
            </w:pPr>
            <w:r>
              <w:rPr>
                <w:rFonts w:hint="eastAsia"/>
                <w:sz w:val="24"/>
                <w:lang w:val="en-US" w:eastAsia="zh-CN"/>
              </w:rPr>
              <w:t>2024年</w:t>
            </w:r>
          </w:p>
        </w:tc>
        <w:tc>
          <w:tcPr>
            <w:tcW w:w="1692" w:type="dxa"/>
            <w:shd w:val="clear" w:color="auto" w:fill="auto"/>
            <w:noWrap/>
            <w:vAlign w:val="top"/>
          </w:tcPr>
          <w:p w14:paraId="59D5D517">
            <w:pPr>
              <w:spacing w:before="156" w:beforeLines="50" w:after="156" w:afterLines="50" w:line="360" w:lineRule="auto"/>
              <w:rPr>
                <w:rFonts w:hint="default"/>
                <w:sz w:val="24"/>
                <w:lang w:val="en-US" w:eastAsia="zh-CN"/>
              </w:rPr>
            </w:pPr>
            <w:r>
              <w:rPr>
                <w:rFonts w:hint="eastAsia"/>
                <w:sz w:val="24"/>
                <w:lang w:val="en-US" w:eastAsia="zh-CN"/>
              </w:rPr>
              <w:t>2025年10月</w:t>
            </w:r>
          </w:p>
        </w:tc>
      </w:tr>
      <w:tr w14:paraId="05C8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0" w:type="auto"/>
            <w:noWrap/>
          </w:tcPr>
          <w:p w14:paraId="74C2E4AA">
            <w:pPr>
              <w:spacing w:before="156" w:beforeLines="50" w:after="156" w:afterLines="50" w:line="360" w:lineRule="auto"/>
              <w:rPr>
                <w:sz w:val="24"/>
              </w:rPr>
            </w:pPr>
            <w:r>
              <w:rPr>
                <w:rFonts w:hint="eastAsia"/>
                <w:sz w:val="24"/>
                <w:lang w:val="en-US" w:eastAsia="zh-CN"/>
              </w:rPr>
              <w:t>运维</w:t>
            </w:r>
            <w:r>
              <w:rPr>
                <w:rFonts w:hint="eastAsia"/>
                <w:sz w:val="24"/>
              </w:rPr>
              <w:t>营收</w:t>
            </w:r>
          </w:p>
        </w:tc>
        <w:tc>
          <w:tcPr>
            <w:tcW w:w="0" w:type="auto"/>
            <w:shd w:val="clear" w:color="auto" w:fill="auto"/>
            <w:noWrap/>
            <w:vAlign w:val="top"/>
          </w:tcPr>
          <w:p w14:paraId="4F5FF7CF">
            <w:pPr>
              <w:spacing w:before="156" w:beforeLines="50" w:after="156" w:afterLines="50" w:line="360" w:lineRule="auto"/>
              <w:rPr>
                <w:rFonts w:hint="eastAsia" w:ascii="Calibri" w:hAnsi="Calibri" w:eastAsia="宋体" w:cs="Times New Roman"/>
                <w:kern w:val="2"/>
                <w:sz w:val="24"/>
                <w:szCs w:val="22"/>
                <w:lang w:val="en-US" w:eastAsia="zh-CN" w:bidi="ar-SA"/>
              </w:rPr>
            </w:pPr>
            <w:r>
              <w:rPr>
                <w:rFonts w:hint="eastAsia" w:cs="Times New Roman"/>
                <w:kern w:val="0"/>
                <w:sz w:val="21"/>
                <w:szCs w:val="21"/>
                <w:lang w:val="en-US" w:eastAsia="zh-CN" w:bidi="ar-SA"/>
              </w:rPr>
              <w:t>300</w:t>
            </w:r>
            <w:r>
              <w:rPr>
                <w:rFonts w:hint="eastAsia" w:cs="Times New Roman"/>
                <w:sz w:val="24"/>
                <w:lang w:val="en-US" w:eastAsia="zh-CN"/>
              </w:rPr>
              <w:t>万</w:t>
            </w:r>
          </w:p>
        </w:tc>
        <w:tc>
          <w:tcPr>
            <w:tcW w:w="0" w:type="auto"/>
            <w:shd w:val="clear" w:color="auto" w:fill="auto"/>
            <w:noWrap/>
            <w:vAlign w:val="top"/>
          </w:tcPr>
          <w:p w14:paraId="62B98812">
            <w:pPr>
              <w:spacing w:before="156" w:beforeLines="50" w:after="156" w:afterLines="50" w:line="360" w:lineRule="auto"/>
              <w:rPr>
                <w:rFonts w:hint="eastAsia" w:ascii="Calibri" w:hAnsi="Calibri" w:eastAsia="宋体" w:cs="Times New Roman"/>
                <w:kern w:val="2"/>
                <w:sz w:val="24"/>
                <w:szCs w:val="22"/>
                <w:lang w:val="en-US" w:eastAsia="zh-CN" w:bidi="ar-SA"/>
              </w:rPr>
            </w:pPr>
            <w:r>
              <w:rPr>
                <w:rFonts w:hint="eastAsia" w:cs="Times New Roman"/>
                <w:kern w:val="0"/>
                <w:sz w:val="21"/>
                <w:szCs w:val="21"/>
                <w:lang w:val="en-US" w:eastAsia="zh-CN" w:bidi="ar-SA"/>
              </w:rPr>
              <w:t>390</w:t>
            </w:r>
            <w:r>
              <w:rPr>
                <w:rFonts w:hint="eastAsia" w:cs="Times New Roman"/>
                <w:sz w:val="24"/>
                <w:lang w:val="en-US" w:eastAsia="zh-CN"/>
              </w:rPr>
              <w:t>万</w:t>
            </w:r>
          </w:p>
        </w:tc>
        <w:tc>
          <w:tcPr>
            <w:tcW w:w="0" w:type="auto"/>
            <w:shd w:val="clear" w:color="auto" w:fill="auto"/>
            <w:noWrap/>
            <w:vAlign w:val="top"/>
          </w:tcPr>
          <w:p w14:paraId="4BC929C9">
            <w:pPr>
              <w:spacing w:before="156" w:beforeLines="50" w:after="156" w:afterLines="50" w:line="360" w:lineRule="auto"/>
              <w:rPr>
                <w:rFonts w:hint="eastAsia" w:ascii="Calibri" w:hAnsi="Calibri" w:eastAsia="宋体" w:cs="Times New Roman"/>
                <w:kern w:val="2"/>
                <w:sz w:val="24"/>
                <w:szCs w:val="22"/>
                <w:lang w:val="en-US" w:eastAsia="zh-CN" w:bidi="ar-SA"/>
              </w:rPr>
            </w:pPr>
            <w:r>
              <w:rPr>
                <w:rFonts w:hint="eastAsia" w:cs="Times New Roman"/>
                <w:kern w:val="0"/>
                <w:sz w:val="21"/>
                <w:szCs w:val="21"/>
                <w:lang w:val="en-US" w:eastAsia="zh-CN" w:bidi="ar-SA"/>
              </w:rPr>
              <w:t>500</w:t>
            </w:r>
            <w:r>
              <w:rPr>
                <w:rFonts w:hint="eastAsia" w:cs="Times New Roman"/>
                <w:sz w:val="24"/>
                <w:lang w:val="en-US" w:eastAsia="zh-CN"/>
              </w:rPr>
              <w:t>万</w:t>
            </w:r>
          </w:p>
        </w:tc>
        <w:tc>
          <w:tcPr>
            <w:tcW w:w="1692" w:type="dxa"/>
            <w:shd w:val="clear" w:color="auto" w:fill="auto"/>
            <w:noWrap/>
            <w:vAlign w:val="top"/>
          </w:tcPr>
          <w:p w14:paraId="60EF1AB7">
            <w:pPr>
              <w:spacing w:before="156" w:beforeLines="50" w:after="156" w:afterLines="50" w:line="360" w:lineRule="auto"/>
              <w:rPr>
                <w:rFonts w:hint="eastAsia" w:cs="Times New Roman"/>
                <w:sz w:val="24"/>
                <w:lang w:val="en-US" w:eastAsia="zh-CN"/>
              </w:rPr>
            </w:pPr>
            <w:r>
              <w:rPr>
                <w:rFonts w:hint="eastAsia" w:cs="Times New Roman"/>
                <w:kern w:val="0"/>
                <w:sz w:val="21"/>
                <w:szCs w:val="21"/>
                <w:lang w:val="en-US" w:eastAsia="zh-CN" w:bidi="ar-SA"/>
              </w:rPr>
              <w:t>530</w:t>
            </w:r>
            <w:r>
              <w:rPr>
                <w:rFonts w:hint="eastAsia" w:ascii="Arial" w:hAnsi="Arial" w:cs="Times New Roman"/>
                <w:kern w:val="0"/>
                <w:sz w:val="21"/>
                <w:szCs w:val="21"/>
                <w:lang w:val="en-US" w:eastAsia="zh-CN" w:bidi="ar-SA"/>
              </w:rPr>
              <w:t>万</w:t>
            </w:r>
          </w:p>
        </w:tc>
      </w:tr>
    </w:tbl>
    <w:p w14:paraId="29E822B5">
      <w:pPr>
        <w:pStyle w:val="2"/>
        <w:numPr>
          <w:ilvl w:val="0"/>
          <w:numId w:val="2"/>
        </w:numPr>
        <w:ind w:left="852" w:hanging="525"/>
        <w:rPr>
          <w:rFonts w:hint="eastAsia" w:ascii="宋体" w:hAnsi="宋体" w:cs="Times New Roman"/>
          <w:sz w:val="30"/>
          <w:szCs w:val="30"/>
          <w:lang w:val="en-US" w:eastAsia="zh-CN"/>
        </w:rPr>
      </w:pPr>
      <w:bookmarkStart w:id="15" w:name="_Toc12398"/>
      <w:bookmarkStart w:id="16" w:name="_Toc31883"/>
      <w:bookmarkStart w:id="17" w:name="_Toc21928"/>
      <w:r>
        <w:rPr>
          <w:rFonts w:hint="eastAsia" w:ascii="宋体" w:hAnsi="宋体" w:cs="Times New Roman"/>
          <w:sz w:val="30"/>
          <w:szCs w:val="30"/>
          <w:lang w:val="en-US" w:eastAsia="zh-CN"/>
        </w:rPr>
        <w:t>服务能力提升情况</w:t>
      </w:r>
      <w:bookmarkEnd w:id="15"/>
      <w:bookmarkEnd w:id="16"/>
      <w:bookmarkEnd w:id="17"/>
    </w:p>
    <w:bookmarkEnd w:id="11"/>
    <w:bookmarkEnd w:id="12"/>
    <w:bookmarkEnd w:id="13"/>
    <w:bookmarkEnd w:id="14"/>
    <w:p w14:paraId="6FB1384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.1.内部审核，公司每年定期组织运维服务管理体系的内部审核，并对内审发现的不符合进行完善，避免下次发生，目前已经进行了内审中不符合全部关闭。</w:t>
      </w:r>
    </w:p>
    <w:p w14:paraId="64ABA97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.2.管理评审，公司总经理每年定期组织运维相关部门进行了管理评审工作，每年发布新的改进措施，近三年的改进措施均已实现。</w:t>
      </w:r>
    </w:p>
    <w:p w14:paraId="211B7DF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.3.满意度调查，公司每年定期进行一次满意度调查和评价，最近一次满意度</w:t>
      </w:r>
      <w:r>
        <w:rPr>
          <w:rFonts w:hint="eastAsia" w:cs="Times New Roman"/>
          <w:spacing w:val="2"/>
          <w:kern w:val="0"/>
          <w:sz w:val="21"/>
          <w:szCs w:val="21"/>
          <w:lang w:val="en-US" w:eastAsia="zh-CN" w:bidi="ar-SA"/>
        </w:rPr>
        <w:t>96.2分</w:t>
      </w:r>
      <w:r>
        <w:rPr>
          <w:rFonts w:hint="eastAsia" w:ascii="Arial" w:hAnsi="Arial" w:eastAsia="宋体" w:cs="Times New Roman"/>
          <w:spacing w:val="2"/>
          <w:kern w:val="0"/>
          <w:sz w:val="21"/>
          <w:szCs w:val="21"/>
          <w:lang w:val="en-US" w:eastAsia="zh-CN" w:bidi="ar-SA"/>
        </w:rPr>
        <w:t xml:space="preserve">，已赢得客户青睐。 </w:t>
      </w:r>
    </w:p>
    <w:p w14:paraId="4E0D75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.4.质量目标，管理体系持续有效运行，目标也逐年增加，公司对自身的要求也越来越高</w:t>
      </w:r>
      <w:r>
        <w:rPr>
          <w:rFonts w:hint="eastAsia"/>
        </w:rPr>
        <w:t>。</w:t>
      </w:r>
    </w:p>
    <w:p w14:paraId="54EBC7C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.5.人员，公司现有</w:t>
      </w:r>
      <w:r>
        <w:rPr>
          <w:rFonts w:hint="eastAsia" w:cs="Times New Roman"/>
          <w:spacing w:val="2"/>
          <w:kern w:val="0"/>
          <w:sz w:val="21"/>
          <w:szCs w:val="21"/>
          <w:lang w:val="en-US" w:eastAsia="zh-CN" w:bidi="ar-SA"/>
        </w:rPr>
        <w:t>27</w:t>
      </w:r>
      <w:r>
        <w:rPr>
          <w:rFonts w:hint="eastAsia" w:ascii="Arial" w:hAnsi="Arial" w:eastAsia="宋体" w:cs="Times New Roman"/>
          <w:spacing w:val="2"/>
          <w:kern w:val="0"/>
          <w:sz w:val="21"/>
          <w:szCs w:val="21"/>
          <w:lang w:val="en-US" w:eastAsia="zh-CN" w:bidi="ar-SA"/>
        </w:rPr>
        <w:t>人，运维人员</w:t>
      </w:r>
      <w:r>
        <w:rPr>
          <w:rFonts w:hint="eastAsia" w:cs="Times New Roman"/>
          <w:spacing w:val="2"/>
          <w:kern w:val="0"/>
          <w:sz w:val="21"/>
          <w:szCs w:val="21"/>
          <w:lang w:val="en-US" w:eastAsia="zh-CN" w:bidi="ar-SA"/>
        </w:rPr>
        <w:t>18</w:t>
      </w:r>
      <w:r>
        <w:rPr>
          <w:rFonts w:hint="eastAsia" w:ascii="Arial" w:hAnsi="Arial" w:eastAsia="宋体" w:cs="Times New Roman"/>
          <w:spacing w:val="2"/>
          <w:kern w:val="0"/>
          <w:sz w:val="21"/>
          <w:szCs w:val="21"/>
          <w:lang w:val="en-US" w:eastAsia="zh-CN" w:bidi="ar-SA"/>
        </w:rPr>
        <w:t>人， 目前拥有运维相关资质的人员已突破</w:t>
      </w:r>
      <w:r>
        <w:rPr>
          <w:rFonts w:hint="eastAsia" w:cs="Times New Roman"/>
          <w:spacing w:val="2"/>
          <w:kern w:val="0"/>
          <w:sz w:val="21"/>
          <w:szCs w:val="21"/>
          <w:lang w:val="en-US" w:eastAsia="zh-CN" w:bidi="ar-SA"/>
        </w:rPr>
        <w:t>15</w:t>
      </w:r>
      <w:r>
        <w:rPr>
          <w:rFonts w:hint="eastAsia" w:ascii="Arial" w:hAnsi="Arial" w:eastAsia="宋体" w:cs="Times New Roman"/>
          <w:spacing w:val="2"/>
          <w:kern w:val="0"/>
          <w:sz w:val="21"/>
          <w:szCs w:val="21"/>
          <w:lang w:val="en-US" w:eastAsia="zh-CN" w:bidi="ar-SA"/>
        </w:rPr>
        <w:t>人，并且定期与厂商合作，对公司的运维人员分批次进行培训。目前正在对人员晋升渠道进行改进，为运维人员的晋升提供更宽广的道路。</w:t>
      </w:r>
    </w:p>
    <w:p w14:paraId="7117D86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.6.服务台，公司设立服务台至今，近三年来运维服务台接听</w:t>
      </w:r>
      <w:r>
        <w:rPr>
          <w:rFonts w:hint="eastAsia" w:ascii="Arial" w:hAnsi="Arial" w:cs="Times New Roman"/>
          <w:spacing w:val="2"/>
          <w:kern w:val="0"/>
          <w:sz w:val="21"/>
          <w:szCs w:val="21"/>
          <w:lang w:val="en-US" w:eastAsia="zh-CN" w:bidi="ar-SA"/>
        </w:rPr>
        <w:t>的</w:t>
      </w:r>
      <w:r>
        <w:rPr>
          <w:rFonts w:hint="eastAsia" w:ascii="Arial" w:hAnsi="Arial" w:eastAsia="宋体" w:cs="Times New Roman"/>
          <w:spacing w:val="2"/>
          <w:kern w:val="0"/>
          <w:sz w:val="21"/>
          <w:szCs w:val="21"/>
          <w:lang w:val="en-US" w:eastAsia="zh-CN" w:bidi="ar-SA"/>
        </w:rPr>
        <w:t>服务请求，均已全部解决，解决率为100%。目前依旧存在保障时，客户直接联系熟悉的运维工程师的情况，目前正在进行服务台人员的培训并与客户沟通。</w:t>
      </w:r>
    </w:p>
    <w:p w14:paraId="615DB56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.7.知识库，体系运行至今，知识库条目已累计</w:t>
      </w:r>
      <w:r>
        <w:rPr>
          <w:rFonts w:hint="eastAsia" w:cs="Times New Roman"/>
          <w:spacing w:val="2"/>
          <w:kern w:val="0"/>
          <w:sz w:val="21"/>
          <w:szCs w:val="21"/>
          <w:lang w:val="en-US" w:eastAsia="zh-CN" w:bidi="ar-SA"/>
        </w:rPr>
        <w:t>200</w:t>
      </w:r>
      <w:r>
        <w:rPr>
          <w:rFonts w:hint="eastAsia" w:ascii="Arial" w:hAnsi="Arial" w:cs="Times New Roman"/>
          <w:spacing w:val="2"/>
          <w:kern w:val="0"/>
          <w:sz w:val="21"/>
          <w:szCs w:val="21"/>
          <w:lang w:val="en-US" w:eastAsia="zh-CN" w:bidi="ar-SA"/>
        </w:rPr>
        <w:t>余</w:t>
      </w:r>
      <w:r>
        <w:rPr>
          <w:rFonts w:hint="eastAsia" w:ascii="Arial" w:hAnsi="Arial" w:eastAsia="宋体" w:cs="Times New Roman"/>
          <w:spacing w:val="2"/>
          <w:kern w:val="0"/>
          <w:sz w:val="21"/>
          <w:szCs w:val="21"/>
          <w:lang w:val="en-US" w:eastAsia="zh-CN" w:bidi="ar-SA"/>
        </w:rPr>
        <w:t>条，已成为工程师解决问题或者故障常用手段。目前有许多知识条目已经无用，目前正在对知识条目进行审计</w:t>
      </w:r>
      <w:r>
        <w:rPr>
          <w:rFonts w:hint="eastAsia"/>
        </w:rPr>
        <w:t xml:space="preserve">。 </w:t>
      </w:r>
    </w:p>
    <w:p w14:paraId="28F28CF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.8.服务级别，公司逐步完善服务目录定义的完整性，签订 SLA 文件的规范性；保证服务级别 SLA 的达成；目前各项目服务级别达成率</w:t>
      </w:r>
      <w:r>
        <w:rPr>
          <w:rFonts w:hint="eastAsia" w:cs="Times New Roman"/>
          <w:spacing w:val="2"/>
          <w:kern w:val="0"/>
          <w:sz w:val="21"/>
          <w:szCs w:val="21"/>
          <w:lang w:val="en-US" w:eastAsia="zh-CN" w:bidi="ar-SA"/>
        </w:rPr>
        <w:t>100</w:t>
      </w:r>
      <w:r>
        <w:rPr>
          <w:rFonts w:hint="eastAsia" w:ascii="Arial" w:hAnsi="Arial" w:eastAsia="宋体" w:cs="Times New Roman"/>
          <w:spacing w:val="2"/>
          <w:kern w:val="0"/>
          <w:sz w:val="21"/>
          <w:szCs w:val="21"/>
          <w:lang w:val="en-US" w:eastAsia="zh-CN" w:bidi="ar-SA"/>
        </w:rPr>
        <w:t xml:space="preserve">%，服务级别达成率得到很好的执行。 </w:t>
      </w:r>
    </w:p>
    <w:p w14:paraId="76F372B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 xml:space="preserve">.9.服务报告，公司加强对服务报告的完整性管理，保证服务报告的及时性、准确性，服务报告按时提交率达到 100%。 </w:t>
      </w:r>
    </w:p>
    <w:p w14:paraId="47B7B08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.10.事件管理:保证事件管理过程的完整性、有效性，加强事件解决评估机制的有效性；事件平均响应时间≤2小时，事件平均解决时间≤48小时。已经大大减少解决时间。事件解决率</w:t>
      </w:r>
      <w:r>
        <w:rPr>
          <w:rFonts w:hint="eastAsia" w:ascii="Arial" w:hAnsi="Arial" w:cs="Times New Roman"/>
          <w:spacing w:val="2"/>
          <w:kern w:val="0"/>
          <w:sz w:val="21"/>
          <w:szCs w:val="21"/>
          <w:lang w:val="en-US" w:eastAsia="zh-CN" w:bidi="ar-SA"/>
        </w:rPr>
        <w:t>均≥9</w:t>
      </w:r>
      <w:r>
        <w:rPr>
          <w:rFonts w:hint="eastAsia" w:cs="Times New Roman"/>
          <w:spacing w:val="2"/>
          <w:kern w:val="0"/>
          <w:sz w:val="21"/>
          <w:szCs w:val="21"/>
          <w:lang w:val="en-US" w:eastAsia="zh-CN" w:bidi="ar-SA"/>
        </w:rPr>
        <w:t>6</w:t>
      </w:r>
      <w:r>
        <w:rPr>
          <w:rFonts w:hint="eastAsia" w:ascii="Arial" w:hAnsi="Arial" w:cs="Times New Roman"/>
          <w:spacing w:val="2"/>
          <w:kern w:val="0"/>
          <w:sz w:val="21"/>
          <w:szCs w:val="21"/>
          <w:lang w:val="en-US" w:eastAsia="zh-CN" w:bidi="ar-SA"/>
        </w:rPr>
        <w:t>%，</w:t>
      </w:r>
      <w:r>
        <w:rPr>
          <w:rFonts w:hint="eastAsia" w:cs="Times New Roman"/>
          <w:spacing w:val="2"/>
          <w:kern w:val="0"/>
          <w:sz w:val="21"/>
          <w:szCs w:val="21"/>
          <w:lang w:val="en-US" w:eastAsia="zh-CN" w:bidi="ar-SA"/>
        </w:rPr>
        <w:t>事件解决用户满意度100%</w:t>
      </w:r>
      <w:r>
        <w:rPr>
          <w:rFonts w:hint="eastAsia" w:ascii="Arial" w:hAnsi="Arial" w:cs="Times New Roman"/>
          <w:spacing w:val="2"/>
          <w:kern w:val="0"/>
          <w:sz w:val="21"/>
          <w:szCs w:val="21"/>
          <w:lang w:val="en-US" w:eastAsia="zh-CN" w:bidi="ar-SA"/>
        </w:rPr>
        <w:t>。</w:t>
      </w:r>
    </w:p>
    <w:p w14:paraId="18AD7BA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.11.问题管理:公司目前对于问题的分类、分级进行了明确的定义，并在问题管理程序中指派了知识审核人员对问题处理过程进行知识收集，大大增加了工作效率。</w:t>
      </w:r>
      <w:r>
        <w:rPr>
          <w:rFonts w:hint="eastAsia" w:cs="Times New Roman"/>
          <w:spacing w:val="2"/>
          <w:kern w:val="0"/>
          <w:sz w:val="21"/>
          <w:szCs w:val="21"/>
          <w:lang w:val="en-US" w:eastAsia="zh-CN" w:bidi="ar-SA"/>
        </w:rPr>
        <w:t>问题转知识比率达到92%，问题以全部解决，问题解决率达到92%</w:t>
      </w:r>
      <w:r>
        <w:rPr>
          <w:rFonts w:hint="eastAsia" w:ascii="Arial" w:hAnsi="Arial" w:eastAsia="宋体" w:cs="Times New Roman"/>
          <w:spacing w:val="2"/>
          <w:kern w:val="0"/>
          <w:sz w:val="21"/>
          <w:szCs w:val="21"/>
          <w:lang w:val="en-US" w:eastAsia="zh-CN" w:bidi="ar-SA"/>
        </w:rPr>
        <w:t xml:space="preserve"> </w:t>
      </w:r>
    </w:p>
    <w:p w14:paraId="0E3FA5B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.12.配置管理:公司定期对配置项进行审计，并于变更后及时对配置项进行重新审计。</w:t>
      </w:r>
      <w:r>
        <w:rPr>
          <w:rFonts w:hint="eastAsia" w:cs="Times New Roman"/>
          <w:spacing w:val="2"/>
          <w:kern w:val="0"/>
          <w:sz w:val="21"/>
          <w:szCs w:val="21"/>
          <w:lang w:val="en-US" w:eastAsia="zh-CN" w:bidi="ar-SA"/>
        </w:rPr>
        <w:t>配置准确率达到99%。</w:t>
      </w:r>
    </w:p>
    <w:p w14:paraId="7C8C0C4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.13.变更发布管理:目前公司的变更发布基本为资源的降配和增配，均按相关规定实行。</w:t>
      </w:r>
      <w:r>
        <w:rPr>
          <w:rFonts w:hint="eastAsia" w:cs="Times New Roman"/>
          <w:spacing w:val="2"/>
          <w:kern w:val="0"/>
          <w:sz w:val="21"/>
          <w:szCs w:val="21"/>
          <w:lang w:val="en-US" w:eastAsia="zh-CN" w:bidi="ar-SA"/>
        </w:rPr>
        <w:t>变更准确率达98%，发布准确率为98%</w:t>
      </w:r>
    </w:p>
    <w:p w14:paraId="257F49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Arial" w:hAnsi="Arial" w:eastAsia="宋体" w:cs="Times New Roman"/>
          <w:spacing w:val="2"/>
          <w:kern w:val="0"/>
          <w:sz w:val="21"/>
          <w:szCs w:val="21"/>
          <w:lang w:val="en-US" w:eastAsia="zh-CN" w:bidi="ar-SA"/>
        </w:rPr>
      </w:pPr>
      <w:r>
        <w:rPr>
          <w:rFonts w:hint="eastAsia" w:ascii="Arial" w:hAnsi="Arial"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 xml:space="preserve">.14.安全管理:ITSS 体系运行至今未发生任何信息安全威胁事件。 </w:t>
      </w:r>
    </w:p>
    <w:p w14:paraId="01A9B923">
      <w:pPr>
        <w:pStyle w:val="12"/>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Arial" w:hAnsi="Arial" w:eastAsia="宋体" w:cs="Times New Roman"/>
          <w:spacing w:val="2"/>
          <w:kern w:val="0"/>
          <w:sz w:val="21"/>
          <w:szCs w:val="21"/>
          <w:lang w:val="en-US" w:eastAsia="zh-CN" w:bidi="ar-SA"/>
        </w:rPr>
      </w:pPr>
      <w:r>
        <w:rPr>
          <w:rFonts w:hint="eastAsia" w:cs="Times New Roman"/>
          <w:spacing w:val="2"/>
          <w:kern w:val="0"/>
          <w:sz w:val="21"/>
          <w:szCs w:val="21"/>
          <w:lang w:val="en-US" w:eastAsia="zh-CN" w:bidi="ar-SA"/>
        </w:rPr>
        <w:t>4</w:t>
      </w:r>
      <w:r>
        <w:rPr>
          <w:rFonts w:hint="eastAsia" w:ascii="Arial" w:hAnsi="Arial" w:eastAsia="宋体" w:cs="Times New Roman"/>
          <w:spacing w:val="2"/>
          <w:kern w:val="0"/>
          <w:sz w:val="21"/>
          <w:szCs w:val="21"/>
          <w:lang w:val="en-US" w:eastAsia="zh-CN" w:bidi="ar-SA"/>
        </w:rPr>
        <w:t>.15.技术，ITSS 体系运行至今，公司持续对过程工具、监控工具等功能进行完善，通过近三年运维技术研发成果，在多方面提高运维人员解决故障效率。</w:t>
      </w:r>
    </w:p>
    <w:p w14:paraId="1742DD1B">
      <w:pPr>
        <w:pStyle w:val="2"/>
        <w:numPr>
          <w:ilvl w:val="0"/>
          <w:numId w:val="2"/>
        </w:numPr>
        <w:ind w:left="852" w:hanging="525"/>
        <w:rPr>
          <w:rFonts w:hint="eastAsia" w:ascii="宋体" w:hAnsi="宋体" w:cs="Times New Roman"/>
          <w:sz w:val="30"/>
          <w:szCs w:val="30"/>
          <w:lang w:val="en-US" w:eastAsia="zh-CN"/>
        </w:rPr>
      </w:pPr>
      <w:bookmarkStart w:id="18" w:name="_Toc10987"/>
      <w:bookmarkStart w:id="19" w:name="_Toc19868"/>
      <w:bookmarkStart w:id="20" w:name="_Toc22040"/>
      <w:r>
        <w:rPr>
          <w:rFonts w:hint="eastAsia" w:ascii="宋体" w:hAnsi="宋体" w:cs="Times New Roman"/>
          <w:sz w:val="30"/>
          <w:szCs w:val="30"/>
          <w:lang w:val="en-US" w:eastAsia="zh-CN"/>
        </w:rPr>
        <w:t>总结与改进</w:t>
      </w:r>
      <w:bookmarkEnd w:id="18"/>
      <w:bookmarkEnd w:id="19"/>
      <w:bookmarkEnd w:id="20"/>
    </w:p>
    <w:p w14:paraId="027EE44C">
      <w:pPr>
        <w:pStyle w:val="29"/>
        <w:bidi w:val="0"/>
      </w:pPr>
      <w:r>
        <w:rPr>
          <w:rFonts w:hint="eastAsia" w:ascii="Arial" w:hAnsi="Arial" w:eastAsia="宋体" w:cs="Times New Roman"/>
          <w:spacing w:val="2"/>
          <w:kern w:val="0"/>
          <w:sz w:val="21"/>
          <w:szCs w:val="21"/>
          <w:lang w:val="en-US" w:eastAsia="zh-CN" w:bidi="ar-SA"/>
        </w:rPr>
        <w:t>通过 ITSS 运维服务管理体系在公司的落地实施，促使公司的运维服务管理方式不断完善。纵观公司近三年的运维数据，在人员、资源、技术、过程、质量等方面均有不同程度的提升。公司积极改变传统集成服务管理特征，引入更多的新技术、新方法，通过信息化手段来进行数据化的组织管理。通过多个维度去保障公司服务能力的持续优化，使得客户满意度和忠诚度不断提升，从而为公司的规模化、规范化提供有效支撑和保障。</w:t>
      </w:r>
    </w:p>
    <w:sectPr>
      <w:headerReference r:id="rId5" w:type="default"/>
      <w:footerReference r:id="rId6" w:type="default"/>
      <w:pgSz w:w="11906" w:h="16839"/>
      <w:pgMar w:top="1122" w:right="1581" w:bottom="1306" w:left="1580" w:header="597" w:footer="113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B581E">
    <w:pPr>
      <w:spacing w:line="182" w:lineRule="auto"/>
      <w:ind w:left="4332"/>
      <w:rPr>
        <w:rFonts w:ascii="Arial" w:hAnsi="Arial" w:eastAsia="Arial" w:cs="Arial"/>
        <w:sz w:val="18"/>
        <w:szCs w:val="18"/>
      </w:rPr>
    </w:pPr>
    <w:r>
      <w:rPr>
        <w:rFonts w:ascii="Arial" w:hAnsi="Arial" w:eastAsia="Arial" w:cs="Arial"/>
        <w:sz w:val="18"/>
        <w:szCs w:val="18"/>
      </w:rPr>
      <w:t>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365F7">
    <w:pPr>
      <w:pStyle w:val="15"/>
      <w:jc w:val="right"/>
    </w:pPr>
    <w:r>
      <w:rPr>
        <w:rFonts w:hint="eastAsia" w:ascii="宋体" w:hAnsi="宋体" w:eastAsia="宋体" w:cs="宋体"/>
        <w:sz w:val="20"/>
        <w:szCs w:val="20"/>
      </w:rPr>
      <w:t>SciWell-ITSS-YW-03-01实施运维服务能力成熟度对服务能力提升及业务发展的促进情况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797D1582"/>
    <w:multiLevelType w:val="singleLevel"/>
    <w:tmpl w:val="797D1582"/>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2DE7C7D"/>
    <w:rsid w:val="039E740C"/>
    <w:rsid w:val="06797770"/>
    <w:rsid w:val="0B0F7360"/>
    <w:rsid w:val="0B7C44D7"/>
    <w:rsid w:val="0B9A495D"/>
    <w:rsid w:val="0CC50E80"/>
    <w:rsid w:val="0CFB02F0"/>
    <w:rsid w:val="0D2A1D10"/>
    <w:rsid w:val="0D7F5FE1"/>
    <w:rsid w:val="10525806"/>
    <w:rsid w:val="120153CD"/>
    <w:rsid w:val="122344D0"/>
    <w:rsid w:val="16F93C3E"/>
    <w:rsid w:val="17AA23CB"/>
    <w:rsid w:val="18110491"/>
    <w:rsid w:val="1CED6FE2"/>
    <w:rsid w:val="1F6C249F"/>
    <w:rsid w:val="23A103BA"/>
    <w:rsid w:val="257B7155"/>
    <w:rsid w:val="281409E9"/>
    <w:rsid w:val="284363E2"/>
    <w:rsid w:val="2965371A"/>
    <w:rsid w:val="29E76EA7"/>
    <w:rsid w:val="2B911481"/>
    <w:rsid w:val="325D030E"/>
    <w:rsid w:val="35156C7E"/>
    <w:rsid w:val="35E94E50"/>
    <w:rsid w:val="375D2209"/>
    <w:rsid w:val="387C7014"/>
    <w:rsid w:val="38934A8A"/>
    <w:rsid w:val="39101C78"/>
    <w:rsid w:val="39972358"/>
    <w:rsid w:val="39CB0253"/>
    <w:rsid w:val="3C575DCE"/>
    <w:rsid w:val="3D8B21D4"/>
    <w:rsid w:val="3D997DD2"/>
    <w:rsid w:val="3E3671A0"/>
    <w:rsid w:val="3F62300E"/>
    <w:rsid w:val="41B4781F"/>
    <w:rsid w:val="420A743F"/>
    <w:rsid w:val="46D02154"/>
    <w:rsid w:val="47F02CCF"/>
    <w:rsid w:val="4B5F07FC"/>
    <w:rsid w:val="4C7C718B"/>
    <w:rsid w:val="4E8E6FF0"/>
    <w:rsid w:val="4EEF00E8"/>
    <w:rsid w:val="511107EA"/>
    <w:rsid w:val="53B45A28"/>
    <w:rsid w:val="54634E4A"/>
    <w:rsid w:val="57B36157"/>
    <w:rsid w:val="59AA17DC"/>
    <w:rsid w:val="5AC4067B"/>
    <w:rsid w:val="5BA83AF9"/>
    <w:rsid w:val="5FFC2424"/>
    <w:rsid w:val="6041662C"/>
    <w:rsid w:val="62285994"/>
    <w:rsid w:val="62D277D9"/>
    <w:rsid w:val="648F1CFA"/>
    <w:rsid w:val="64AB0E2F"/>
    <w:rsid w:val="65C423DB"/>
    <w:rsid w:val="6CDC1854"/>
    <w:rsid w:val="6DBE0F5A"/>
    <w:rsid w:val="6E012B4E"/>
    <w:rsid w:val="6E8977BA"/>
    <w:rsid w:val="6F5E29F5"/>
    <w:rsid w:val="6F775864"/>
    <w:rsid w:val="6FB46AB9"/>
    <w:rsid w:val="7238577F"/>
    <w:rsid w:val="727F33AE"/>
    <w:rsid w:val="74885745"/>
    <w:rsid w:val="76521057"/>
    <w:rsid w:val="76FF2D0F"/>
    <w:rsid w:val="79404F19"/>
    <w:rsid w:val="7D133C80"/>
    <w:rsid w:val="7EA128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19"/>
    <w:qFormat/>
    <w:uiPriority w:val="0"/>
    <w:pPr>
      <w:spacing w:after="900" w:afterLines="900"/>
    </w:pPr>
    <w:rPr>
      <w:rFonts w:ascii="黑体" w:hAnsi="黑体" w:eastAsia="黑体" w:cs="黑体"/>
      <w:bCs/>
      <w:spacing w:val="-7"/>
      <w:sz w:val="52"/>
      <w:szCs w:val="52"/>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paragraph" w:styleId="42">
    <w:name w:val="List Paragraph"/>
    <w:basedOn w:val="1"/>
    <w:autoRedefine/>
    <w:qFormat/>
    <w:uiPriority w:val="1"/>
    <w:pPr>
      <w:spacing w:before="161"/>
      <w:ind w:left="1053" w:hanging="361"/>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1642</Words>
  <Characters>1846</Characters>
  <TotalTime>0</TotalTime>
  <ScaleCrop>false</ScaleCrop>
  <LinksUpToDate>false</LinksUpToDate>
  <CharactersWithSpaces>1887</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2022-12-14T14:45:00Z</dcterms:created>
  <dc:creator>CN=刘媛媛/O=CNCIS</dc:creator>
  <cp:lastModifiedBy>郝宇</cp:lastModifiedBy>
  <dcterms:modified xsi:type="dcterms:W3CDTF">2025-11-04T21:07:59Z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2025-10-31T06:30:08Z</vt:filetime>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12F340D4E8FC4953BABC2495C2C8C5CE_12</vt:lpwstr>
  </property>
</Properties>
</file>