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E9AEB">
      <w:pPr>
        <w:spacing w:line="251" w:lineRule="auto"/>
        <w:rPr>
          <w:rFonts w:ascii="Arial"/>
          <w:sz w:val="21"/>
        </w:rPr>
      </w:pPr>
    </w:p>
    <w:p w14:paraId="3B2EDB8F">
      <w:pPr>
        <w:spacing w:line="251" w:lineRule="auto"/>
        <w:rPr>
          <w:rFonts w:ascii="Arial"/>
          <w:sz w:val="21"/>
        </w:rPr>
      </w:pPr>
    </w:p>
    <w:p w14:paraId="384D8FD6">
      <w:pPr>
        <w:spacing w:line="251" w:lineRule="auto"/>
        <w:rPr>
          <w:rFonts w:ascii="Arial"/>
          <w:sz w:val="21"/>
        </w:rPr>
      </w:pPr>
    </w:p>
    <w:p w14:paraId="377BF211">
      <w:pPr>
        <w:spacing w:line="252" w:lineRule="auto"/>
        <w:rPr>
          <w:rFonts w:ascii="Arial"/>
          <w:sz w:val="21"/>
        </w:rPr>
      </w:pPr>
    </w:p>
    <w:p w14:paraId="19CA4046">
      <w:pPr>
        <w:spacing w:line="252" w:lineRule="auto"/>
        <w:rPr>
          <w:rFonts w:ascii="Arial"/>
          <w:sz w:val="21"/>
        </w:rPr>
      </w:pPr>
    </w:p>
    <w:p w14:paraId="43B64F55">
      <w:pPr>
        <w:spacing w:line="252" w:lineRule="auto"/>
        <w:rPr>
          <w:rFonts w:ascii="Arial"/>
          <w:sz w:val="21"/>
        </w:rPr>
      </w:pPr>
    </w:p>
    <w:p w14:paraId="104C82BE">
      <w:pPr>
        <w:spacing w:line="252" w:lineRule="auto"/>
        <w:rPr>
          <w:rFonts w:ascii="Arial"/>
          <w:sz w:val="21"/>
        </w:rPr>
      </w:pPr>
    </w:p>
    <w:p w14:paraId="1C8645CA">
      <w:pPr>
        <w:spacing w:line="870" w:lineRule="exact"/>
        <w:ind w:firstLine="94"/>
      </w:pPr>
      <w:r>
        <w:rPr>
          <w:position w:val="-17"/>
        </w:rPr>
        <w:drawing>
          <wp:inline distT="0" distB="0" distL="0" distR="0">
            <wp:extent cx="5166360" cy="55245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5166414" cy="553017"/>
                    </a:xfrm>
                    <a:prstGeom prst="rect">
                      <a:avLst/>
                    </a:prstGeom>
                  </pic:spPr>
                </pic:pic>
              </a:graphicData>
            </a:graphic>
          </wp:inline>
        </w:drawing>
      </w:r>
    </w:p>
    <w:p w14:paraId="496BB0FB">
      <w:pPr>
        <w:spacing w:line="273" w:lineRule="auto"/>
        <w:rPr>
          <w:rFonts w:ascii="Arial"/>
          <w:sz w:val="21"/>
        </w:rPr>
      </w:pPr>
    </w:p>
    <w:p w14:paraId="3EF153E1">
      <w:pPr>
        <w:spacing w:line="273" w:lineRule="auto"/>
        <w:rPr>
          <w:rFonts w:ascii="Arial"/>
          <w:sz w:val="21"/>
        </w:rPr>
      </w:pPr>
    </w:p>
    <w:p w14:paraId="001BC13D">
      <w:pPr>
        <w:spacing w:line="273" w:lineRule="auto"/>
        <w:rPr>
          <w:rFonts w:ascii="Arial"/>
          <w:sz w:val="21"/>
        </w:rPr>
      </w:pPr>
    </w:p>
    <w:p w14:paraId="241BC219">
      <w:pPr>
        <w:spacing w:line="273" w:lineRule="auto"/>
        <w:rPr>
          <w:rFonts w:ascii="Arial"/>
          <w:sz w:val="21"/>
        </w:rPr>
      </w:pPr>
    </w:p>
    <w:p w14:paraId="6C9484FF">
      <w:pPr>
        <w:spacing w:line="273" w:lineRule="auto"/>
        <w:rPr>
          <w:rFonts w:ascii="Arial"/>
          <w:sz w:val="21"/>
        </w:rPr>
      </w:pPr>
    </w:p>
    <w:p w14:paraId="05041355">
      <w:pPr>
        <w:spacing w:line="273" w:lineRule="auto"/>
        <w:rPr>
          <w:rFonts w:ascii="Arial"/>
          <w:sz w:val="21"/>
        </w:rPr>
      </w:pPr>
    </w:p>
    <w:p w14:paraId="0D274102">
      <w:pPr>
        <w:spacing w:before="153" w:line="492" w:lineRule="auto"/>
        <w:ind w:left="0" w:leftChars="0" w:right="0" w:rightChars="0" w:firstLine="0" w:firstLineChars="0"/>
        <w:jc w:val="center"/>
        <w:rPr>
          <w:rFonts w:ascii="宋体" w:hAnsi="宋体" w:eastAsia="宋体" w:cs="宋体"/>
          <w:b/>
          <w:bCs/>
          <w:spacing w:val="4"/>
          <w:sz w:val="47"/>
          <w:szCs w:val="47"/>
        </w:rPr>
      </w:pPr>
      <w:r>
        <w:rPr>
          <w:rFonts w:ascii="宋体" w:hAnsi="宋体" w:eastAsia="宋体" w:cs="宋体"/>
          <w:b/>
          <w:bCs/>
          <w:spacing w:val="4"/>
          <w:sz w:val="47"/>
          <w:szCs w:val="47"/>
        </w:rPr>
        <w:t>天津市科远系统工程有限公司</w:t>
      </w:r>
    </w:p>
    <w:p w14:paraId="0DB26A25">
      <w:pPr>
        <w:spacing w:before="153" w:line="492" w:lineRule="auto"/>
        <w:ind w:left="0" w:leftChars="0" w:right="0" w:rightChars="0" w:firstLine="0" w:firstLineChars="0"/>
        <w:jc w:val="center"/>
        <w:rPr>
          <w:rFonts w:hint="default" w:ascii="宋体" w:hAnsi="宋体" w:eastAsia="宋体" w:cs="宋体"/>
          <w:sz w:val="47"/>
          <w:szCs w:val="47"/>
          <w:lang w:val="en-US" w:eastAsia="zh-CN"/>
        </w:rPr>
      </w:pPr>
      <w:r>
        <w:rPr>
          <w:rFonts w:ascii="宋体" w:hAnsi="宋体" w:eastAsia="宋体" w:cs="宋体"/>
          <w:b/>
          <w:bCs/>
          <w:spacing w:val="4"/>
          <w:sz w:val="47"/>
          <w:szCs w:val="47"/>
        </w:rPr>
        <w:t>服务台</w:t>
      </w:r>
      <w:r>
        <w:rPr>
          <w:rFonts w:hint="eastAsia" w:ascii="宋体" w:hAnsi="宋体" w:eastAsia="宋体" w:cs="宋体"/>
          <w:b/>
          <w:bCs/>
          <w:spacing w:val="4"/>
          <w:sz w:val="47"/>
          <w:szCs w:val="47"/>
          <w:lang w:val="en-US" w:eastAsia="zh-CN"/>
        </w:rPr>
        <w:t>应用情况说明</w:t>
      </w:r>
    </w:p>
    <w:p w14:paraId="72D22BF7">
      <w:pPr>
        <w:spacing w:before="12"/>
      </w:pPr>
    </w:p>
    <w:p w14:paraId="5475C977">
      <w:pPr>
        <w:spacing w:before="12"/>
      </w:pPr>
    </w:p>
    <w:p w14:paraId="3409CFC0">
      <w:pPr>
        <w:spacing w:before="12"/>
      </w:pPr>
    </w:p>
    <w:p w14:paraId="6B162A2B">
      <w:pPr>
        <w:spacing w:before="12"/>
      </w:pPr>
    </w:p>
    <w:p w14:paraId="473A1FF0">
      <w:pPr>
        <w:spacing w:before="12"/>
      </w:pPr>
    </w:p>
    <w:p w14:paraId="6BF540F3">
      <w:pPr>
        <w:spacing w:before="12"/>
      </w:pPr>
    </w:p>
    <w:p w14:paraId="23F2F3A2">
      <w:pPr>
        <w:spacing w:before="12"/>
      </w:pPr>
    </w:p>
    <w:p w14:paraId="608C5F41">
      <w:pPr>
        <w:spacing w:before="12"/>
      </w:pPr>
    </w:p>
    <w:p w14:paraId="37ECD696">
      <w:pPr>
        <w:spacing w:before="12"/>
      </w:pPr>
    </w:p>
    <w:p w14:paraId="5D06F9AE">
      <w:pPr>
        <w:spacing w:before="12"/>
      </w:pPr>
    </w:p>
    <w:p w14:paraId="769C31D9">
      <w:pPr>
        <w:spacing w:before="12"/>
      </w:pPr>
    </w:p>
    <w:p w14:paraId="40381B04">
      <w:pPr>
        <w:spacing w:before="12"/>
      </w:pPr>
    </w:p>
    <w:p w14:paraId="4B2658E0">
      <w:pPr>
        <w:spacing w:before="12"/>
      </w:pPr>
    </w:p>
    <w:p w14:paraId="214836C8">
      <w:pPr>
        <w:spacing w:before="11"/>
      </w:pPr>
    </w:p>
    <w:p w14:paraId="2044BFB1">
      <w:pPr>
        <w:spacing w:before="11"/>
      </w:pPr>
    </w:p>
    <w:tbl>
      <w:tblPr>
        <w:tblStyle w:val="24"/>
        <w:tblW w:w="7004" w:type="dxa"/>
        <w:tblInd w:w="66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29"/>
        <w:gridCol w:w="2691"/>
        <w:gridCol w:w="1282"/>
        <w:gridCol w:w="1702"/>
      </w:tblGrid>
      <w:tr w14:paraId="59018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1329" w:type="dxa"/>
            <w:shd w:val="clear" w:color="auto" w:fill="D9D9D9"/>
            <w:vAlign w:val="top"/>
          </w:tcPr>
          <w:p w14:paraId="4D237D19">
            <w:pPr>
              <w:pStyle w:val="25"/>
              <w:spacing w:before="126" w:line="219" w:lineRule="auto"/>
              <w:ind w:left="190"/>
            </w:pPr>
            <w:r>
              <w:rPr>
                <w:b/>
                <w:bCs/>
                <w:spacing w:val="-5"/>
              </w:rPr>
              <w:t>文件编号</w:t>
            </w:r>
          </w:p>
        </w:tc>
        <w:tc>
          <w:tcPr>
            <w:tcW w:w="2691" w:type="dxa"/>
            <w:vAlign w:val="top"/>
          </w:tcPr>
          <w:p w14:paraId="5996F862">
            <w:pPr>
              <w:pStyle w:val="25"/>
              <w:spacing w:before="125"/>
              <w:ind w:left="152"/>
            </w:pPr>
            <w:r>
              <w:rPr>
                <w:spacing w:val="-1"/>
              </w:rPr>
              <w:t>SciWell-ITSS-YW-1101</w:t>
            </w:r>
          </w:p>
        </w:tc>
        <w:tc>
          <w:tcPr>
            <w:tcW w:w="1282" w:type="dxa"/>
            <w:shd w:val="clear" w:color="auto" w:fill="D9D9D9"/>
            <w:vAlign w:val="top"/>
          </w:tcPr>
          <w:p w14:paraId="4A5F351A">
            <w:pPr>
              <w:pStyle w:val="25"/>
              <w:spacing w:before="125" w:line="219" w:lineRule="auto"/>
              <w:ind w:left="528"/>
            </w:pPr>
            <w:r>
              <w:rPr>
                <w:b/>
                <w:bCs/>
                <w:spacing w:val="-8"/>
              </w:rPr>
              <w:t>版本</w:t>
            </w:r>
          </w:p>
        </w:tc>
        <w:tc>
          <w:tcPr>
            <w:tcW w:w="1702" w:type="dxa"/>
            <w:vAlign w:val="top"/>
          </w:tcPr>
          <w:p w14:paraId="2A4C49ED">
            <w:pPr>
              <w:pStyle w:val="25"/>
              <w:spacing w:before="125" w:line="239" w:lineRule="auto"/>
              <w:ind w:left="612"/>
            </w:pPr>
            <w:r>
              <w:rPr>
                <w:spacing w:val="-1"/>
              </w:rPr>
              <w:t>V1.0</w:t>
            </w:r>
          </w:p>
        </w:tc>
      </w:tr>
      <w:tr w14:paraId="725EF8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1329" w:type="dxa"/>
            <w:shd w:val="clear" w:color="auto" w:fill="D9D9D9"/>
            <w:vAlign w:val="top"/>
          </w:tcPr>
          <w:p w14:paraId="1FCEC52D">
            <w:pPr>
              <w:pStyle w:val="25"/>
              <w:spacing w:before="123" w:line="220" w:lineRule="auto"/>
              <w:ind w:left="429"/>
            </w:pPr>
            <w:r>
              <w:rPr>
                <w:b/>
                <w:bCs/>
                <w:spacing w:val="-8"/>
              </w:rPr>
              <w:t>作者</w:t>
            </w:r>
          </w:p>
        </w:tc>
        <w:tc>
          <w:tcPr>
            <w:tcW w:w="2691" w:type="dxa"/>
            <w:vAlign w:val="top"/>
          </w:tcPr>
          <w:p w14:paraId="043269AC">
            <w:pPr>
              <w:pStyle w:val="25"/>
              <w:spacing w:before="123" w:line="220" w:lineRule="auto"/>
              <w:ind w:left="993"/>
            </w:pPr>
            <w:r>
              <w:rPr>
                <w:spacing w:val="-4"/>
              </w:rPr>
              <w:t>王宇昊</w:t>
            </w:r>
          </w:p>
        </w:tc>
        <w:tc>
          <w:tcPr>
            <w:tcW w:w="1282" w:type="dxa"/>
            <w:shd w:val="clear" w:color="auto" w:fill="D9D9D9"/>
            <w:vAlign w:val="top"/>
          </w:tcPr>
          <w:p w14:paraId="03A3E279">
            <w:pPr>
              <w:pStyle w:val="25"/>
              <w:spacing w:before="124" w:line="219" w:lineRule="auto"/>
              <w:ind w:left="166"/>
            </w:pPr>
            <w:r>
              <w:rPr>
                <w:b/>
                <w:bCs/>
                <w:spacing w:val="-5"/>
              </w:rPr>
              <w:t>编写日期</w:t>
            </w:r>
          </w:p>
        </w:tc>
        <w:tc>
          <w:tcPr>
            <w:tcW w:w="1702" w:type="dxa"/>
            <w:vAlign w:val="top"/>
          </w:tcPr>
          <w:p w14:paraId="3FA711EF">
            <w:pPr>
              <w:pStyle w:val="25"/>
              <w:spacing w:before="123" w:line="238" w:lineRule="auto"/>
              <w:ind w:left="261"/>
              <w:rPr>
                <w:rFonts w:hint="default" w:eastAsia="宋体"/>
                <w:lang w:val="en-US" w:eastAsia="zh-CN"/>
              </w:rPr>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25</w:t>
            </w:r>
          </w:p>
        </w:tc>
      </w:tr>
      <w:tr w14:paraId="3AC84F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329" w:type="dxa"/>
            <w:shd w:val="clear" w:color="auto" w:fill="D9D9D9"/>
            <w:vAlign w:val="top"/>
          </w:tcPr>
          <w:p w14:paraId="2F3F5573">
            <w:pPr>
              <w:pStyle w:val="25"/>
              <w:spacing w:before="139" w:line="220" w:lineRule="auto"/>
              <w:ind w:left="441"/>
            </w:pPr>
            <w:r>
              <w:rPr>
                <w:b/>
                <w:bCs/>
                <w:spacing w:val="-14"/>
              </w:rPr>
              <w:t>审核</w:t>
            </w:r>
          </w:p>
        </w:tc>
        <w:tc>
          <w:tcPr>
            <w:tcW w:w="2691" w:type="dxa"/>
            <w:vAlign w:val="top"/>
          </w:tcPr>
          <w:p w14:paraId="78EFBE2A">
            <w:pPr>
              <w:pStyle w:val="25"/>
              <w:spacing w:before="116" w:line="219" w:lineRule="auto"/>
              <w:ind w:left="991"/>
            </w:pPr>
            <w:r>
              <w:rPr>
                <w:spacing w:val="-4"/>
              </w:rPr>
              <w:t>侯永平</w:t>
            </w:r>
          </w:p>
        </w:tc>
        <w:tc>
          <w:tcPr>
            <w:tcW w:w="1282" w:type="dxa"/>
            <w:shd w:val="clear" w:color="auto" w:fill="D9D9D9"/>
            <w:vAlign w:val="top"/>
          </w:tcPr>
          <w:p w14:paraId="780D7BAD">
            <w:pPr>
              <w:pStyle w:val="25"/>
              <w:spacing w:before="139" w:line="220" w:lineRule="auto"/>
              <w:ind w:left="177"/>
            </w:pPr>
            <w:r>
              <w:rPr>
                <w:b/>
                <w:bCs/>
                <w:spacing w:val="-8"/>
              </w:rPr>
              <w:t>审核日期</w:t>
            </w:r>
          </w:p>
        </w:tc>
        <w:tc>
          <w:tcPr>
            <w:tcW w:w="1702" w:type="dxa"/>
            <w:vAlign w:val="top"/>
          </w:tcPr>
          <w:p w14:paraId="1E1F76C8">
            <w:pPr>
              <w:pStyle w:val="25"/>
              <w:spacing w:before="138"/>
              <w:ind w:left="261"/>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25</w:t>
            </w:r>
          </w:p>
        </w:tc>
      </w:tr>
      <w:tr w14:paraId="6ABCBE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1329" w:type="dxa"/>
            <w:shd w:val="clear" w:color="auto" w:fill="D9D9D9"/>
            <w:vAlign w:val="top"/>
          </w:tcPr>
          <w:p w14:paraId="55FCB215">
            <w:pPr>
              <w:pStyle w:val="25"/>
              <w:spacing w:before="124" w:line="221" w:lineRule="auto"/>
              <w:ind w:left="427"/>
            </w:pPr>
            <w:r>
              <w:rPr>
                <w:b/>
                <w:bCs/>
                <w:spacing w:val="-7"/>
              </w:rPr>
              <w:t>批准</w:t>
            </w:r>
          </w:p>
        </w:tc>
        <w:tc>
          <w:tcPr>
            <w:tcW w:w="2691" w:type="dxa"/>
            <w:vAlign w:val="top"/>
          </w:tcPr>
          <w:p w14:paraId="570A4C6F">
            <w:pPr>
              <w:pStyle w:val="25"/>
              <w:spacing w:before="125" w:line="221" w:lineRule="auto"/>
              <w:ind w:left="1110"/>
            </w:pPr>
            <w:r>
              <w:rPr>
                <w:spacing w:val="-5"/>
              </w:rPr>
              <w:t>赵洁</w:t>
            </w:r>
          </w:p>
        </w:tc>
        <w:tc>
          <w:tcPr>
            <w:tcW w:w="1282" w:type="dxa"/>
            <w:shd w:val="clear" w:color="auto" w:fill="D8D8D8"/>
            <w:vAlign w:val="top"/>
          </w:tcPr>
          <w:p w14:paraId="5C3395FB">
            <w:pPr>
              <w:pStyle w:val="25"/>
              <w:spacing w:before="125" w:line="220" w:lineRule="auto"/>
              <w:ind w:left="163"/>
            </w:pPr>
            <w:r>
              <w:rPr>
                <w:b/>
                <w:bCs/>
                <w:spacing w:val="-5"/>
              </w:rPr>
              <w:t>批准日期</w:t>
            </w:r>
          </w:p>
        </w:tc>
        <w:tc>
          <w:tcPr>
            <w:tcW w:w="1702" w:type="dxa"/>
            <w:vAlign w:val="top"/>
          </w:tcPr>
          <w:p w14:paraId="40D78956">
            <w:pPr>
              <w:pStyle w:val="25"/>
              <w:spacing w:before="124" w:line="237" w:lineRule="auto"/>
              <w:ind w:left="261"/>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25</w:t>
            </w:r>
          </w:p>
        </w:tc>
      </w:tr>
      <w:tr w14:paraId="6E6106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6" w:hRule="atLeast"/>
        </w:trPr>
        <w:tc>
          <w:tcPr>
            <w:tcW w:w="1329" w:type="dxa"/>
            <w:shd w:val="clear" w:color="auto" w:fill="D9D9D9"/>
            <w:vAlign w:val="top"/>
          </w:tcPr>
          <w:p w14:paraId="24D252B7">
            <w:pPr>
              <w:pStyle w:val="25"/>
              <w:spacing w:before="130" w:line="219" w:lineRule="auto"/>
              <w:ind w:left="192"/>
            </w:pPr>
            <w:r>
              <w:rPr>
                <w:b/>
                <w:bCs/>
                <w:spacing w:val="-6"/>
              </w:rPr>
              <w:t>发布范围</w:t>
            </w:r>
          </w:p>
        </w:tc>
        <w:tc>
          <w:tcPr>
            <w:tcW w:w="2691" w:type="dxa"/>
            <w:vAlign w:val="top"/>
          </w:tcPr>
          <w:p w14:paraId="4A72968F">
            <w:pPr>
              <w:pStyle w:val="25"/>
              <w:spacing w:before="131" w:line="219" w:lineRule="auto"/>
              <w:ind w:left="1020"/>
            </w:pPr>
            <w:r>
              <w:rPr>
                <w:spacing w:val="-20"/>
              </w:rPr>
              <w:t>内</w:t>
            </w:r>
            <w:r>
              <w:rPr>
                <w:spacing w:val="6"/>
              </w:rPr>
              <w:t xml:space="preserve">  </w:t>
            </w:r>
            <w:r>
              <w:rPr>
                <w:spacing w:val="-20"/>
              </w:rPr>
              <w:t>部</w:t>
            </w:r>
          </w:p>
        </w:tc>
        <w:tc>
          <w:tcPr>
            <w:tcW w:w="1282" w:type="dxa"/>
            <w:shd w:val="clear" w:color="auto" w:fill="D8D8D8"/>
            <w:vAlign w:val="top"/>
          </w:tcPr>
          <w:p w14:paraId="24CE135F">
            <w:pPr>
              <w:pStyle w:val="25"/>
              <w:spacing w:before="130" w:line="219" w:lineRule="auto"/>
              <w:ind w:left="168"/>
            </w:pPr>
            <w:r>
              <w:rPr>
                <w:b/>
                <w:bCs/>
                <w:spacing w:val="-6"/>
              </w:rPr>
              <w:t>发布日期</w:t>
            </w:r>
          </w:p>
        </w:tc>
        <w:tc>
          <w:tcPr>
            <w:tcW w:w="1702" w:type="dxa"/>
            <w:vAlign w:val="top"/>
          </w:tcPr>
          <w:p w14:paraId="62CDF88A">
            <w:pPr>
              <w:pStyle w:val="25"/>
              <w:spacing w:before="130"/>
              <w:ind w:left="261"/>
              <w:rPr>
                <w:rFonts w:hint="default"/>
                <w:lang w:val="en-US"/>
              </w:rPr>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26</w:t>
            </w:r>
          </w:p>
        </w:tc>
      </w:tr>
    </w:tbl>
    <w:p w14:paraId="78B1E0AB">
      <w:pPr>
        <w:rPr>
          <w:rFonts w:ascii="Arial"/>
          <w:sz w:val="21"/>
        </w:rPr>
      </w:pPr>
    </w:p>
    <w:p w14:paraId="247608EF">
      <w:pPr>
        <w:rPr>
          <w:rFonts w:ascii="Arial" w:hAnsi="Arial" w:eastAsia="Arial" w:cs="Arial"/>
          <w:sz w:val="21"/>
          <w:szCs w:val="21"/>
        </w:rPr>
        <w:sectPr>
          <w:pgSz w:w="11906" w:h="16839"/>
          <w:pgMar w:top="1122" w:right="1785" w:bottom="0" w:left="1785" w:header="597" w:footer="0" w:gutter="0"/>
          <w:cols w:space="720" w:num="1"/>
        </w:sectPr>
      </w:pPr>
    </w:p>
    <w:p w14:paraId="7FEA76F9">
      <w:pPr>
        <w:spacing w:line="396" w:lineRule="auto"/>
        <w:rPr>
          <w:rFonts w:ascii="Arial"/>
          <w:sz w:val="21"/>
        </w:rPr>
      </w:pPr>
    </w:p>
    <w:p w14:paraId="08202E24">
      <w:pPr>
        <w:pStyle w:val="12"/>
        <w:spacing w:before="91" w:line="220" w:lineRule="auto"/>
        <w:ind w:left="3336"/>
        <w:rPr>
          <w:sz w:val="28"/>
          <w:szCs w:val="28"/>
        </w:rPr>
      </w:pPr>
      <w:r>
        <w:rPr>
          <w:b/>
          <w:bCs/>
          <w:spacing w:val="-4"/>
          <w:sz w:val="28"/>
          <w:szCs w:val="28"/>
        </w:rPr>
        <w:t>文档修订信息</w:t>
      </w:r>
    </w:p>
    <w:p w14:paraId="1B996974">
      <w:pPr>
        <w:spacing w:before="188"/>
      </w:pPr>
    </w:p>
    <w:tbl>
      <w:tblPr>
        <w:tblStyle w:val="24"/>
        <w:tblW w:w="8261"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9"/>
        <w:gridCol w:w="1532"/>
        <w:gridCol w:w="1671"/>
        <w:gridCol w:w="1915"/>
        <w:gridCol w:w="1854"/>
      </w:tblGrid>
      <w:tr w14:paraId="10259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289" w:type="dxa"/>
            <w:shd w:val="clear" w:color="auto" w:fill="E5E5E5"/>
            <w:vAlign w:val="top"/>
          </w:tcPr>
          <w:p w14:paraId="717090D7">
            <w:pPr>
              <w:pStyle w:val="25"/>
              <w:spacing w:before="156" w:line="219" w:lineRule="auto"/>
              <w:ind w:left="288"/>
            </w:pPr>
            <w:r>
              <w:rPr>
                <w:b/>
                <w:bCs/>
                <w:spacing w:val="-6"/>
              </w:rPr>
              <w:t>版本号</w:t>
            </w:r>
          </w:p>
        </w:tc>
        <w:tc>
          <w:tcPr>
            <w:tcW w:w="1532" w:type="dxa"/>
            <w:shd w:val="clear" w:color="auto" w:fill="E5E5E5"/>
            <w:vAlign w:val="top"/>
          </w:tcPr>
          <w:p w14:paraId="6400561A">
            <w:pPr>
              <w:pStyle w:val="25"/>
              <w:spacing w:before="157" w:line="219" w:lineRule="auto"/>
              <w:ind w:left="287"/>
            </w:pPr>
            <w:r>
              <w:rPr>
                <w:b/>
                <w:bCs/>
                <w:spacing w:val="-5"/>
              </w:rPr>
              <w:t>修订日期</w:t>
            </w:r>
          </w:p>
        </w:tc>
        <w:tc>
          <w:tcPr>
            <w:tcW w:w="1671" w:type="dxa"/>
            <w:shd w:val="clear" w:color="auto" w:fill="E5E5E5"/>
            <w:vAlign w:val="top"/>
          </w:tcPr>
          <w:p w14:paraId="56FFF718">
            <w:pPr>
              <w:pStyle w:val="25"/>
              <w:spacing w:before="157" w:line="219" w:lineRule="auto"/>
              <w:ind w:left="478"/>
            </w:pPr>
            <w:r>
              <w:rPr>
                <w:b/>
                <w:bCs/>
                <w:spacing w:val="-5"/>
              </w:rPr>
              <w:t>修订人</w:t>
            </w:r>
          </w:p>
        </w:tc>
        <w:tc>
          <w:tcPr>
            <w:tcW w:w="1915" w:type="dxa"/>
            <w:shd w:val="clear" w:color="auto" w:fill="E5E5E5"/>
            <w:vAlign w:val="top"/>
          </w:tcPr>
          <w:p w14:paraId="4041E0ED">
            <w:pPr>
              <w:pStyle w:val="25"/>
              <w:spacing w:before="157" w:line="219" w:lineRule="auto"/>
              <w:ind w:left="482"/>
            </w:pPr>
            <w:r>
              <w:rPr>
                <w:b/>
                <w:bCs/>
                <w:spacing w:val="-5"/>
              </w:rPr>
              <w:t>修订说明</w:t>
            </w:r>
          </w:p>
        </w:tc>
        <w:tc>
          <w:tcPr>
            <w:tcW w:w="1854" w:type="dxa"/>
            <w:shd w:val="clear" w:color="auto" w:fill="E5E5E5"/>
            <w:vAlign w:val="top"/>
          </w:tcPr>
          <w:p w14:paraId="35142B5F">
            <w:pPr>
              <w:pStyle w:val="25"/>
              <w:spacing w:before="156" w:line="221" w:lineRule="auto"/>
              <w:ind w:left="694"/>
            </w:pPr>
            <w:r>
              <w:rPr>
                <w:b/>
                <w:bCs/>
                <w:spacing w:val="-9"/>
              </w:rPr>
              <w:t>备注</w:t>
            </w:r>
          </w:p>
        </w:tc>
      </w:tr>
      <w:tr w14:paraId="3A79F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1289" w:type="dxa"/>
            <w:vAlign w:val="top"/>
          </w:tcPr>
          <w:p w14:paraId="48436755">
            <w:pPr>
              <w:pStyle w:val="25"/>
              <w:spacing w:before="147" w:line="239" w:lineRule="auto"/>
              <w:ind w:left="416"/>
            </w:pPr>
            <w:r>
              <w:rPr>
                <w:spacing w:val="-1"/>
              </w:rPr>
              <w:t>V1.0</w:t>
            </w:r>
          </w:p>
        </w:tc>
        <w:tc>
          <w:tcPr>
            <w:tcW w:w="1532" w:type="dxa"/>
            <w:vAlign w:val="top"/>
          </w:tcPr>
          <w:p w14:paraId="689977A6">
            <w:pPr>
              <w:pStyle w:val="25"/>
              <w:spacing w:before="147"/>
              <w:ind w:left="184"/>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25</w:t>
            </w:r>
          </w:p>
        </w:tc>
        <w:tc>
          <w:tcPr>
            <w:tcW w:w="1671" w:type="dxa"/>
            <w:vAlign w:val="top"/>
          </w:tcPr>
          <w:p w14:paraId="619358FD">
            <w:pPr>
              <w:pStyle w:val="25"/>
              <w:spacing w:before="148" w:line="220" w:lineRule="auto"/>
              <w:ind w:left="494"/>
            </w:pPr>
            <w:r>
              <w:rPr>
                <w:spacing w:val="-4"/>
              </w:rPr>
              <w:t>王宇昊</w:t>
            </w:r>
          </w:p>
        </w:tc>
        <w:tc>
          <w:tcPr>
            <w:tcW w:w="1915" w:type="dxa"/>
            <w:vAlign w:val="top"/>
          </w:tcPr>
          <w:p w14:paraId="0D312532">
            <w:pPr>
              <w:pStyle w:val="25"/>
              <w:spacing w:before="148" w:line="220" w:lineRule="auto"/>
              <w:ind w:left="737"/>
            </w:pPr>
            <w:r>
              <w:rPr>
                <w:spacing w:val="-6"/>
              </w:rPr>
              <w:t>新建</w:t>
            </w:r>
          </w:p>
        </w:tc>
        <w:tc>
          <w:tcPr>
            <w:tcW w:w="1854" w:type="dxa"/>
            <w:vAlign w:val="top"/>
          </w:tcPr>
          <w:p w14:paraId="0BC09DF2">
            <w:pPr>
              <w:rPr>
                <w:rFonts w:ascii="Arial"/>
                <w:sz w:val="21"/>
              </w:rPr>
            </w:pPr>
          </w:p>
        </w:tc>
      </w:tr>
      <w:tr w14:paraId="20DEA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289" w:type="dxa"/>
            <w:vAlign w:val="top"/>
          </w:tcPr>
          <w:p w14:paraId="459FB4C1">
            <w:pPr>
              <w:rPr>
                <w:rFonts w:ascii="Arial"/>
                <w:sz w:val="21"/>
              </w:rPr>
            </w:pPr>
          </w:p>
        </w:tc>
        <w:tc>
          <w:tcPr>
            <w:tcW w:w="1532" w:type="dxa"/>
            <w:vAlign w:val="top"/>
          </w:tcPr>
          <w:p w14:paraId="3BD3F997">
            <w:pPr>
              <w:rPr>
                <w:rFonts w:ascii="Arial"/>
                <w:sz w:val="21"/>
              </w:rPr>
            </w:pPr>
          </w:p>
        </w:tc>
        <w:tc>
          <w:tcPr>
            <w:tcW w:w="1671" w:type="dxa"/>
            <w:vAlign w:val="top"/>
          </w:tcPr>
          <w:p w14:paraId="4B3F0A20">
            <w:pPr>
              <w:rPr>
                <w:rFonts w:ascii="Arial"/>
                <w:sz w:val="21"/>
              </w:rPr>
            </w:pPr>
          </w:p>
        </w:tc>
        <w:tc>
          <w:tcPr>
            <w:tcW w:w="1915" w:type="dxa"/>
            <w:vAlign w:val="top"/>
          </w:tcPr>
          <w:p w14:paraId="61AA5083">
            <w:pPr>
              <w:rPr>
                <w:rFonts w:ascii="Arial"/>
                <w:sz w:val="21"/>
              </w:rPr>
            </w:pPr>
          </w:p>
        </w:tc>
        <w:tc>
          <w:tcPr>
            <w:tcW w:w="1854" w:type="dxa"/>
            <w:vAlign w:val="top"/>
          </w:tcPr>
          <w:p w14:paraId="15B19779">
            <w:pPr>
              <w:rPr>
                <w:rFonts w:ascii="Arial"/>
                <w:sz w:val="21"/>
              </w:rPr>
            </w:pPr>
          </w:p>
        </w:tc>
      </w:tr>
      <w:tr w14:paraId="77346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289" w:type="dxa"/>
            <w:vAlign w:val="top"/>
          </w:tcPr>
          <w:p w14:paraId="09A307C4">
            <w:pPr>
              <w:rPr>
                <w:rFonts w:ascii="Arial"/>
                <w:sz w:val="21"/>
              </w:rPr>
            </w:pPr>
          </w:p>
        </w:tc>
        <w:tc>
          <w:tcPr>
            <w:tcW w:w="1532" w:type="dxa"/>
            <w:vAlign w:val="top"/>
          </w:tcPr>
          <w:p w14:paraId="29A82965">
            <w:pPr>
              <w:rPr>
                <w:rFonts w:ascii="Arial"/>
                <w:sz w:val="21"/>
              </w:rPr>
            </w:pPr>
          </w:p>
        </w:tc>
        <w:tc>
          <w:tcPr>
            <w:tcW w:w="1671" w:type="dxa"/>
            <w:vAlign w:val="top"/>
          </w:tcPr>
          <w:p w14:paraId="129EA3A6">
            <w:pPr>
              <w:rPr>
                <w:rFonts w:ascii="Arial"/>
                <w:sz w:val="21"/>
              </w:rPr>
            </w:pPr>
          </w:p>
        </w:tc>
        <w:tc>
          <w:tcPr>
            <w:tcW w:w="1915" w:type="dxa"/>
            <w:vAlign w:val="top"/>
          </w:tcPr>
          <w:p w14:paraId="72048F19">
            <w:pPr>
              <w:rPr>
                <w:rFonts w:ascii="Arial"/>
                <w:sz w:val="21"/>
              </w:rPr>
            </w:pPr>
          </w:p>
        </w:tc>
        <w:tc>
          <w:tcPr>
            <w:tcW w:w="1854" w:type="dxa"/>
            <w:vAlign w:val="top"/>
          </w:tcPr>
          <w:p w14:paraId="7FA58D1D">
            <w:pPr>
              <w:rPr>
                <w:rFonts w:ascii="Arial"/>
                <w:sz w:val="21"/>
              </w:rPr>
            </w:pPr>
          </w:p>
        </w:tc>
      </w:tr>
      <w:tr w14:paraId="300F0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289" w:type="dxa"/>
            <w:vAlign w:val="top"/>
          </w:tcPr>
          <w:p w14:paraId="2681E117">
            <w:pPr>
              <w:rPr>
                <w:rFonts w:ascii="Arial"/>
                <w:sz w:val="21"/>
              </w:rPr>
            </w:pPr>
          </w:p>
        </w:tc>
        <w:tc>
          <w:tcPr>
            <w:tcW w:w="1532" w:type="dxa"/>
            <w:vAlign w:val="top"/>
          </w:tcPr>
          <w:p w14:paraId="1A2755C4">
            <w:pPr>
              <w:rPr>
                <w:rFonts w:ascii="Arial"/>
                <w:sz w:val="21"/>
              </w:rPr>
            </w:pPr>
          </w:p>
        </w:tc>
        <w:tc>
          <w:tcPr>
            <w:tcW w:w="1671" w:type="dxa"/>
            <w:vAlign w:val="top"/>
          </w:tcPr>
          <w:p w14:paraId="48015DD1">
            <w:pPr>
              <w:rPr>
                <w:rFonts w:ascii="Arial"/>
                <w:sz w:val="21"/>
              </w:rPr>
            </w:pPr>
          </w:p>
        </w:tc>
        <w:tc>
          <w:tcPr>
            <w:tcW w:w="1915" w:type="dxa"/>
            <w:vAlign w:val="top"/>
          </w:tcPr>
          <w:p w14:paraId="1AD72E9A">
            <w:pPr>
              <w:rPr>
                <w:rFonts w:ascii="Arial"/>
                <w:sz w:val="21"/>
              </w:rPr>
            </w:pPr>
          </w:p>
        </w:tc>
        <w:tc>
          <w:tcPr>
            <w:tcW w:w="1854" w:type="dxa"/>
            <w:vAlign w:val="top"/>
          </w:tcPr>
          <w:p w14:paraId="01750EEF">
            <w:pPr>
              <w:rPr>
                <w:rFonts w:ascii="Arial"/>
                <w:sz w:val="21"/>
              </w:rPr>
            </w:pPr>
          </w:p>
        </w:tc>
      </w:tr>
      <w:tr w14:paraId="4F347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289" w:type="dxa"/>
            <w:vAlign w:val="top"/>
          </w:tcPr>
          <w:p w14:paraId="466FB6E8">
            <w:pPr>
              <w:rPr>
                <w:rFonts w:ascii="Arial"/>
                <w:sz w:val="21"/>
              </w:rPr>
            </w:pPr>
          </w:p>
        </w:tc>
        <w:tc>
          <w:tcPr>
            <w:tcW w:w="1532" w:type="dxa"/>
            <w:vAlign w:val="top"/>
          </w:tcPr>
          <w:p w14:paraId="0DB33D92">
            <w:pPr>
              <w:rPr>
                <w:rFonts w:ascii="Arial"/>
                <w:sz w:val="21"/>
              </w:rPr>
            </w:pPr>
          </w:p>
        </w:tc>
        <w:tc>
          <w:tcPr>
            <w:tcW w:w="1671" w:type="dxa"/>
            <w:vAlign w:val="top"/>
          </w:tcPr>
          <w:p w14:paraId="6F09F9C2">
            <w:pPr>
              <w:rPr>
                <w:rFonts w:ascii="Arial"/>
                <w:sz w:val="21"/>
              </w:rPr>
            </w:pPr>
          </w:p>
        </w:tc>
        <w:tc>
          <w:tcPr>
            <w:tcW w:w="1915" w:type="dxa"/>
            <w:vAlign w:val="top"/>
          </w:tcPr>
          <w:p w14:paraId="3E166984">
            <w:pPr>
              <w:rPr>
                <w:rFonts w:ascii="Arial"/>
                <w:sz w:val="21"/>
              </w:rPr>
            </w:pPr>
          </w:p>
        </w:tc>
        <w:tc>
          <w:tcPr>
            <w:tcW w:w="1854" w:type="dxa"/>
            <w:vAlign w:val="top"/>
          </w:tcPr>
          <w:p w14:paraId="347E4B83">
            <w:pPr>
              <w:rPr>
                <w:rFonts w:ascii="Arial"/>
                <w:sz w:val="21"/>
              </w:rPr>
            </w:pPr>
          </w:p>
        </w:tc>
      </w:tr>
    </w:tbl>
    <w:p w14:paraId="5299CB54">
      <w:pPr>
        <w:rPr>
          <w:rFonts w:ascii="Arial"/>
          <w:sz w:val="21"/>
        </w:rPr>
      </w:pPr>
    </w:p>
    <w:p w14:paraId="56D5D8BF">
      <w:pPr>
        <w:rPr>
          <w:rFonts w:ascii="Arial" w:hAnsi="Arial" w:eastAsia="Arial" w:cs="Arial"/>
          <w:sz w:val="21"/>
          <w:szCs w:val="21"/>
        </w:rPr>
        <w:sectPr>
          <w:pgSz w:w="11906" w:h="16839"/>
          <w:pgMar w:top="1122" w:right="1785" w:bottom="0" w:left="1785" w:header="597" w:footer="0" w:gutter="0"/>
          <w:cols w:space="720" w:num="1"/>
        </w:sectPr>
      </w:pPr>
    </w:p>
    <w:p w14:paraId="5B7F2C3C">
      <w:pPr>
        <w:spacing w:line="368" w:lineRule="auto"/>
        <w:rPr>
          <w:rFonts w:ascii="Arial"/>
          <w:sz w:val="21"/>
        </w:rPr>
      </w:pPr>
    </w:p>
    <w:sdt>
      <w:sdtPr>
        <w:rPr>
          <w:rFonts w:ascii="宋体" w:hAnsi="宋体" w:eastAsia="宋体" w:cs="Arial"/>
          <w:snapToGrid w:val="0"/>
          <w:color w:val="000000"/>
          <w:kern w:val="0"/>
          <w:sz w:val="21"/>
          <w:szCs w:val="21"/>
          <w:lang w:val="en-US" w:eastAsia="en-US" w:bidi="ar-SA"/>
        </w:rPr>
        <w:id w:val="147472183"/>
        <w15:color w:val="DBDBDB"/>
        <w:docPartObj>
          <w:docPartGallery w:val="Table of Contents"/>
          <w:docPartUnique/>
        </w:docPartObj>
      </w:sdtPr>
      <w:sdtEndPr>
        <w:rPr>
          <w:rFonts w:ascii="Arial" w:hAnsi="Arial" w:eastAsia="宋体" w:cs="Arial"/>
          <w:snapToGrid w:val="0"/>
          <w:color w:val="000000"/>
          <w:kern w:val="0"/>
          <w:sz w:val="21"/>
          <w:szCs w:val="24"/>
          <w:lang w:val="en-US" w:eastAsia="en-US" w:bidi="ar-SA"/>
        </w:rPr>
      </w:sdtEndPr>
      <w:sdtContent>
        <w:p w14:paraId="3B96256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FADB244">
          <w:pPr>
            <w:pStyle w:val="16"/>
            <w:tabs>
              <w:tab w:val="right" w:leader="dot" w:pos="8336"/>
            </w:tabs>
          </w:pPr>
          <w:r>
            <w:rPr>
              <w:sz w:val="24"/>
              <w:szCs w:val="24"/>
            </w:rPr>
            <w:fldChar w:fldCharType="begin"/>
          </w:r>
          <w:r>
            <w:rPr>
              <w:sz w:val="24"/>
              <w:szCs w:val="24"/>
            </w:rPr>
            <w:instrText xml:space="preserve">TOC \o "1-3" \h \u </w:instrText>
          </w:r>
          <w:r>
            <w:rPr>
              <w:sz w:val="24"/>
              <w:szCs w:val="24"/>
            </w:rPr>
            <w:fldChar w:fldCharType="separate"/>
          </w:r>
          <w:r>
            <w:rPr>
              <w:szCs w:val="24"/>
            </w:rPr>
            <w:fldChar w:fldCharType="begin"/>
          </w:r>
          <w:r>
            <w:rPr>
              <w:szCs w:val="24"/>
            </w:rPr>
            <w:instrText xml:space="preserve"> HYPERLINK \l _Toc29284 </w:instrText>
          </w:r>
          <w:r>
            <w:rPr>
              <w:szCs w:val="24"/>
            </w:rPr>
            <w:fldChar w:fldCharType="separate"/>
          </w:r>
          <w:r>
            <w:rPr>
              <w:rFonts w:hint="default"/>
            </w:rPr>
            <w:t xml:space="preserve">1. </w:t>
          </w:r>
          <w:r>
            <w:rPr>
              <w:rFonts w:hint="eastAsia"/>
            </w:rPr>
            <w:t>服务台管理体系概述</w:t>
          </w:r>
          <w:r>
            <w:tab/>
          </w:r>
          <w:r>
            <w:fldChar w:fldCharType="begin"/>
          </w:r>
          <w:r>
            <w:instrText xml:space="preserve"> PAGEREF _Toc29284 \h </w:instrText>
          </w:r>
          <w:r>
            <w:fldChar w:fldCharType="separate"/>
          </w:r>
          <w:r>
            <w:t>4</w:t>
          </w:r>
          <w:r>
            <w:fldChar w:fldCharType="end"/>
          </w:r>
          <w:r>
            <w:rPr>
              <w:szCs w:val="24"/>
            </w:rPr>
            <w:fldChar w:fldCharType="end"/>
          </w:r>
        </w:p>
        <w:p w14:paraId="7937C691">
          <w:pPr>
            <w:pStyle w:val="16"/>
            <w:tabs>
              <w:tab w:val="right" w:leader="dot" w:pos="8336"/>
            </w:tabs>
          </w:pPr>
          <w:r>
            <w:rPr>
              <w:szCs w:val="24"/>
            </w:rPr>
            <w:fldChar w:fldCharType="begin"/>
          </w:r>
          <w:r>
            <w:rPr>
              <w:szCs w:val="24"/>
            </w:rPr>
            <w:instrText xml:space="preserve"> HYPERLINK \l _Toc5602 </w:instrText>
          </w:r>
          <w:r>
            <w:rPr>
              <w:szCs w:val="24"/>
            </w:rPr>
            <w:fldChar w:fldCharType="separate"/>
          </w:r>
          <w:r>
            <w:rPr>
              <w:rFonts w:hint="default"/>
            </w:rPr>
            <w:t xml:space="preserve">2. </w:t>
          </w:r>
          <w:r>
            <w:rPr>
              <w:rFonts w:hint="eastAsia"/>
            </w:rPr>
            <w:t>核心机制的应用与执行情况</w:t>
          </w:r>
          <w:r>
            <w:tab/>
          </w:r>
          <w:r>
            <w:fldChar w:fldCharType="begin"/>
          </w:r>
          <w:r>
            <w:instrText xml:space="preserve"> PAGEREF _Toc5602 \h </w:instrText>
          </w:r>
          <w:r>
            <w:fldChar w:fldCharType="separate"/>
          </w:r>
          <w:r>
            <w:t>4</w:t>
          </w:r>
          <w:r>
            <w:fldChar w:fldCharType="end"/>
          </w:r>
          <w:r>
            <w:rPr>
              <w:szCs w:val="24"/>
            </w:rPr>
            <w:fldChar w:fldCharType="end"/>
          </w:r>
        </w:p>
        <w:p w14:paraId="01D9BD44">
          <w:pPr>
            <w:pStyle w:val="17"/>
            <w:tabs>
              <w:tab w:val="right" w:leader="dot" w:pos="8336"/>
            </w:tabs>
          </w:pPr>
          <w:r>
            <w:rPr>
              <w:szCs w:val="24"/>
            </w:rPr>
            <w:fldChar w:fldCharType="begin"/>
          </w:r>
          <w:r>
            <w:rPr>
              <w:szCs w:val="24"/>
            </w:rPr>
            <w:instrText xml:space="preserve"> HYPERLINK \l _Toc13239 </w:instrText>
          </w:r>
          <w:r>
            <w:rPr>
              <w:szCs w:val="24"/>
            </w:rPr>
            <w:fldChar w:fldCharType="separate"/>
          </w:r>
          <w:r>
            <w:rPr>
              <w:rFonts w:hint="default"/>
            </w:rPr>
            <w:t xml:space="preserve">2.1. </w:t>
          </w:r>
          <w:r>
            <w:rPr>
              <w:rFonts w:hint="eastAsia"/>
            </w:rPr>
            <w:t>统一的服务入口与职责落实</w:t>
          </w:r>
          <w:r>
            <w:tab/>
          </w:r>
          <w:r>
            <w:fldChar w:fldCharType="begin"/>
          </w:r>
          <w:r>
            <w:instrText xml:space="preserve"> PAGEREF _Toc13239 \h </w:instrText>
          </w:r>
          <w:r>
            <w:fldChar w:fldCharType="separate"/>
          </w:r>
          <w:r>
            <w:t>4</w:t>
          </w:r>
          <w:r>
            <w:fldChar w:fldCharType="end"/>
          </w:r>
          <w:r>
            <w:rPr>
              <w:szCs w:val="24"/>
            </w:rPr>
            <w:fldChar w:fldCharType="end"/>
          </w:r>
        </w:p>
        <w:p w14:paraId="2E634038">
          <w:pPr>
            <w:pStyle w:val="17"/>
            <w:tabs>
              <w:tab w:val="right" w:leader="dot" w:pos="8336"/>
            </w:tabs>
          </w:pPr>
          <w:r>
            <w:rPr>
              <w:szCs w:val="24"/>
            </w:rPr>
            <w:fldChar w:fldCharType="begin"/>
          </w:r>
          <w:r>
            <w:rPr>
              <w:szCs w:val="24"/>
            </w:rPr>
            <w:instrText xml:space="preserve"> HYPERLINK \l _Toc13692 </w:instrText>
          </w:r>
          <w:r>
            <w:rPr>
              <w:szCs w:val="24"/>
            </w:rPr>
            <w:fldChar w:fldCharType="separate"/>
          </w:r>
          <w:r>
            <w:rPr>
              <w:rFonts w:hint="default"/>
            </w:rPr>
            <w:t xml:space="preserve">2.2. </w:t>
          </w:r>
          <w:r>
            <w:rPr>
              <w:rFonts w:hint="eastAsia"/>
            </w:rPr>
            <w:t>标准化的服务流程在iTop中的实现</w:t>
          </w:r>
          <w:r>
            <w:tab/>
          </w:r>
          <w:r>
            <w:fldChar w:fldCharType="begin"/>
          </w:r>
          <w:r>
            <w:instrText xml:space="preserve"> PAGEREF _Toc13692 \h </w:instrText>
          </w:r>
          <w:r>
            <w:fldChar w:fldCharType="separate"/>
          </w:r>
          <w:r>
            <w:t>4</w:t>
          </w:r>
          <w:r>
            <w:fldChar w:fldCharType="end"/>
          </w:r>
          <w:r>
            <w:rPr>
              <w:szCs w:val="24"/>
            </w:rPr>
            <w:fldChar w:fldCharType="end"/>
          </w:r>
        </w:p>
        <w:p w14:paraId="194E6E93">
          <w:pPr>
            <w:pStyle w:val="17"/>
            <w:tabs>
              <w:tab w:val="right" w:leader="dot" w:pos="8336"/>
            </w:tabs>
          </w:pPr>
          <w:r>
            <w:rPr>
              <w:szCs w:val="24"/>
            </w:rPr>
            <w:fldChar w:fldCharType="begin"/>
          </w:r>
          <w:r>
            <w:rPr>
              <w:szCs w:val="24"/>
            </w:rPr>
            <w:instrText xml:space="preserve"> HYPERLINK \l _Toc470 </w:instrText>
          </w:r>
          <w:r>
            <w:rPr>
              <w:szCs w:val="24"/>
            </w:rPr>
            <w:fldChar w:fldCharType="separate"/>
          </w:r>
          <w:r>
            <w:rPr>
              <w:rFonts w:hint="default"/>
            </w:rPr>
            <w:t xml:space="preserve">2.3. </w:t>
          </w:r>
          <w:r>
            <w:rPr>
              <w:rFonts w:hint="eastAsia"/>
            </w:rPr>
            <w:t>规范的服务行为与专业形象</w:t>
          </w:r>
          <w:r>
            <w:tab/>
          </w:r>
          <w:r>
            <w:fldChar w:fldCharType="begin"/>
          </w:r>
          <w:r>
            <w:instrText xml:space="preserve"> PAGEREF _Toc470 \h </w:instrText>
          </w:r>
          <w:r>
            <w:fldChar w:fldCharType="separate"/>
          </w:r>
          <w:r>
            <w:t>5</w:t>
          </w:r>
          <w:r>
            <w:fldChar w:fldCharType="end"/>
          </w:r>
          <w:r>
            <w:rPr>
              <w:szCs w:val="24"/>
            </w:rPr>
            <w:fldChar w:fldCharType="end"/>
          </w:r>
        </w:p>
        <w:p w14:paraId="6B08DB9C">
          <w:pPr>
            <w:pStyle w:val="17"/>
            <w:tabs>
              <w:tab w:val="right" w:leader="dot" w:pos="8336"/>
            </w:tabs>
          </w:pPr>
          <w:r>
            <w:rPr>
              <w:szCs w:val="24"/>
            </w:rPr>
            <w:fldChar w:fldCharType="begin"/>
          </w:r>
          <w:r>
            <w:rPr>
              <w:szCs w:val="24"/>
            </w:rPr>
            <w:instrText xml:space="preserve"> HYPERLINK \l _Toc15738 </w:instrText>
          </w:r>
          <w:r>
            <w:rPr>
              <w:szCs w:val="24"/>
            </w:rPr>
            <w:fldChar w:fldCharType="separate"/>
          </w:r>
          <w:r>
            <w:rPr>
              <w:rFonts w:hint="default"/>
            </w:rPr>
            <w:t xml:space="preserve">2.4. </w:t>
          </w:r>
          <w:r>
            <w:rPr>
              <w:rFonts w:hint="eastAsia"/>
            </w:rPr>
            <w:t>闭环的质量管理与持续改进</w:t>
          </w:r>
          <w:r>
            <w:tab/>
          </w:r>
          <w:r>
            <w:fldChar w:fldCharType="begin"/>
          </w:r>
          <w:r>
            <w:instrText xml:space="preserve"> PAGEREF _Toc15738 \h </w:instrText>
          </w:r>
          <w:r>
            <w:fldChar w:fldCharType="separate"/>
          </w:r>
          <w:r>
            <w:t>5</w:t>
          </w:r>
          <w:r>
            <w:fldChar w:fldCharType="end"/>
          </w:r>
          <w:r>
            <w:rPr>
              <w:szCs w:val="24"/>
            </w:rPr>
            <w:fldChar w:fldCharType="end"/>
          </w:r>
        </w:p>
        <w:p w14:paraId="4EA7D585">
          <w:pPr>
            <w:pStyle w:val="16"/>
            <w:tabs>
              <w:tab w:val="right" w:leader="dot" w:pos="8336"/>
            </w:tabs>
          </w:pPr>
          <w:r>
            <w:rPr>
              <w:szCs w:val="24"/>
            </w:rPr>
            <w:fldChar w:fldCharType="begin"/>
          </w:r>
          <w:r>
            <w:rPr>
              <w:szCs w:val="24"/>
            </w:rPr>
            <w:instrText xml:space="preserve"> HYPERLINK \l _Toc10084 </w:instrText>
          </w:r>
          <w:r>
            <w:rPr>
              <w:szCs w:val="24"/>
            </w:rPr>
            <w:fldChar w:fldCharType="separate"/>
          </w:r>
          <w:r>
            <w:rPr>
              <w:rFonts w:hint="default"/>
            </w:rPr>
            <w:t xml:space="preserve">3. </w:t>
          </w:r>
          <w:r>
            <w:rPr>
              <w:rFonts w:hint="eastAsia"/>
            </w:rPr>
            <w:t>应用成效总结</w:t>
          </w:r>
          <w:r>
            <w:tab/>
          </w:r>
          <w:r>
            <w:fldChar w:fldCharType="begin"/>
          </w:r>
          <w:r>
            <w:instrText xml:space="preserve"> PAGEREF _Toc10084 \h </w:instrText>
          </w:r>
          <w:r>
            <w:fldChar w:fldCharType="separate"/>
          </w:r>
          <w:r>
            <w:t>5</w:t>
          </w:r>
          <w:r>
            <w:fldChar w:fldCharType="end"/>
          </w:r>
          <w:r>
            <w:rPr>
              <w:szCs w:val="24"/>
            </w:rPr>
            <w:fldChar w:fldCharType="end"/>
          </w:r>
        </w:p>
        <w:p w14:paraId="07ECAA37">
          <w:pPr>
            <w:pStyle w:val="16"/>
            <w:tabs>
              <w:tab w:val="right" w:leader="dot" w:pos="8336"/>
            </w:tabs>
          </w:pPr>
          <w:r>
            <w:rPr>
              <w:szCs w:val="24"/>
            </w:rPr>
            <w:fldChar w:fldCharType="begin"/>
          </w:r>
          <w:r>
            <w:rPr>
              <w:szCs w:val="24"/>
            </w:rPr>
            <w:instrText xml:space="preserve"> HYPERLINK \l _Toc22097 </w:instrText>
          </w:r>
          <w:r>
            <w:rPr>
              <w:szCs w:val="24"/>
            </w:rPr>
            <w:fldChar w:fldCharType="separate"/>
          </w:r>
          <w:r>
            <w:rPr>
              <w:rFonts w:hint="default"/>
            </w:rPr>
            <w:t xml:space="preserve">4. </w:t>
          </w:r>
          <w:r>
            <w:rPr>
              <w:rFonts w:hint="eastAsia"/>
            </w:rPr>
            <w:t>结论</w:t>
          </w:r>
          <w:r>
            <w:tab/>
          </w:r>
          <w:r>
            <w:fldChar w:fldCharType="begin"/>
          </w:r>
          <w:r>
            <w:instrText xml:space="preserve"> PAGEREF _Toc22097 \h </w:instrText>
          </w:r>
          <w:r>
            <w:fldChar w:fldCharType="separate"/>
          </w:r>
          <w:r>
            <w:t>6</w:t>
          </w:r>
          <w:r>
            <w:fldChar w:fldCharType="end"/>
          </w:r>
          <w:r>
            <w:rPr>
              <w:szCs w:val="24"/>
            </w:rPr>
            <w:fldChar w:fldCharType="end"/>
          </w:r>
        </w:p>
        <w:p w14:paraId="1CE3F7A6">
          <w:pPr>
            <w:spacing w:line="219" w:lineRule="auto"/>
            <w:rPr>
              <w:rFonts w:ascii="Arial" w:hAnsi="Arial" w:eastAsia="宋体" w:cs="Arial"/>
              <w:snapToGrid w:val="0"/>
              <w:color w:val="000000"/>
              <w:kern w:val="0"/>
              <w:sz w:val="21"/>
              <w:szCs w:val="24"/>
              <w:lang w:val="en-US" w:eastAsia="en-US" w:bidi="ar-SA"/>
            </w:rPr>
          </w:pPr>
          <w:r>
            <w:rPr>
              <w:szCs w:val="24"/>
            </w:rPr>
            <w:fldChar w:fldCharType="end"/>
          </w:r>
        </w:p>
      </w:sdtContent>
    </w:sdt>
    <w:p w14:paraId="46E88807">
      <w:pPr>
        <w:spacing w:line="219" w:lineRule="auto"/>
        <w:rPr>
          <w:rFonts w:ascii="Arial" w:hAnsi="Arial" w:eastAsia="宋体" w:cs="Arial"/>
          <w:snapToGrid w:val="0"/>
          <w:color w:val="000000"/>
          <w:kern w:val="0"/>
          <w:sz w:val="21"/>
          <w:szCs w:val="24"/>
          <w:lang w:val="en-US" w:eastAsia="en-US" w:bidi="ar-SA"/>
        </w:rPr>
        <w:sectPr>
          <w:pgSz w:w="11906" w:h="16839"/>
          <w:pgMar w:top="1122" w:right="1785" w:bottom="0" w:left="1785" w:header="597" w:footer="0" w:gutter="0"/>
          <w:cols w:space="720" w:num="1"/>
        </w:sectPr>
      </w:pPr>
    </w:p>
    <w:p w14:paraId="15E27DA9">
      <w:pPr>
        <w:pStyle w:val="28"/>
        <w:bidi w:val="0"/>
        <w:rPr>
          <w:rFonts w:hint="eastAsia"/>
        </w:rPr>
      </w:pPr>
      <w:bookmarkStart w:id="0" w:name="_Toc29284"/>
      <w:r>
        <w:rPr>
          <w:rFonts w:hint="eastAsia"/>
        </w:rPr>
        <w:t>服务台管理体系概述</w:t>
      </w:r>
      <w:bookmarkEnd w:id="0"/>
    </w:p>
    <w:p w14:paraId="744FFA9F">
      <w:pPr>
        <w:pStyle w:val="29"/>
        <w:bidi w:val="0"/>
        <w:rPr>
          <w:rFonts w:hint="eastAsia"/>
        </w:rPr>
      </w:pPr>
      <w:r>
        <w:rPr>
          <w:rFonts w:hint="eastAsia"/>
        </w:rPr>
        <w:t>公司服务台体系以《服务台管理制度》为管理准则，以iTop系统为技术支撑，构建了“制度流程化、流程工具化”的现代化运维服务模式。该体系明确了服务台作为运维服务的统一入口和核心枢纽，确保了服务请求从受理、分派、处理、关闭到回访的全过程闭环管理。</w:t>
      </w:r>
    </w:p>
    <w:p w14:paraId="060CD667">
      <w:pPr>
        <w:pStyle w:val="28"/>
        <w:bidi w:val="0"/>
        <w:rPr>
          <w:rFonts w:hint="eastAsia"/>
        </w:rPr>
      </w:pPr>
      <w:bookmarkStart w:id="1" w:name="_Toc5602"/>
      <w:r>
        <w:rPr>
          <w:rFonts w:hint="eastAsia"/>
        </w:rPr>
        <w:t>核心机制的应用与执行情况</w:t>
      </w:r>
      <w:bookmarkEnd w:id="1"/>
    </w:p>
    <w:p w14:paraId="48D40266">
      <w:pPr>
        <w:pStyle w:val="30"/>
        <w:bidi w:val="0"/>
        <w:rPr>
          <w:rFonts w:hint="eastAsia"/>
        </w:rPr>
      </w:pPr>
      <w:bookmarkStart w:id="2" w:name="_Toc13239"/>
      <w:r>
        <w:rPr>
          <w:rFonts w:hint="eastAsia"/>
        </w:rPr>
        <w:t>统一的服务入口与职责落实</w:t>
      </w:r>
      <w:bookmarkEnd w:id="2"/>
    </w:p>
    <w:p w14:paraId="72C62D13">
      <w:pPr>
        <w:pStyle w:val="29"/>
        <w:bidi w:val="0"/>
        <w:rPr>
          <w:rFonts w:hint="eastAsia"/>
        </w:rPr>
      </w:pPr>
      <w:r>
        <w:rPr>
          <w:rFonts w:hint="eastAsia"/>
        </w:rPr>
        <w:t>服务热线：公司严格按制度规定，设立并对外公布统一服务热线 022-58627531，提供 7×24小时 不间断服务，确保客户请求及时响应。</w:t>
      </w:r>
    </w:p>
    <w:p w14:paraId="2EAFFD9A">
      <w:pPr>
        <w:pStyle w:val="29"/>
        <w:bidi w:val="0"/>
        <w:rPr>
          <w:rFonts w:hint="eastAsia"/>
        </w:rPr>
      </w:pPr>
      <w:r>
        <w:rPr>
          <w:rFonts w:hint="eastAsia"/>
        </w:rPr>
        <w:t>服务台与运维工程师职责已在iTop系统中通过权限和流程固化。服务台负责统一受理、初步诊断与派单跟踪；运维工程师负责专业处理与知识沉淀，形成了高效协作机制。</w:t>
      </w:r>
    </w:p>
    <w:p w14:paraId="24C01E34">
      <w:pPr>
        <w:pStyle w:val="30"/>
        <w:bidi w:val="0"/>
        <w:rPr>
          <w:rFonts w:hint="eastAsia"/>
        </w:rPr>
      </w:pPr>
      <w:bookmarkStart w:id="3" w:name="_Toc13692"/>
      <w:r>
        <w:rPr>
          <w:rFonts w:hint="eastAsia"/>
        </w:rPr>
        <w:t>标准化的服务流程在iTop中的实现</w:t>
      </w:r>
      <w:bookmarkEnd w:id="3"/>
    </w:p>
    <w:p w14:paraId="4C2633A8">
      <w:pPr>
        <w:pStyle w:val="29"/>
        <w:bidi w:val="0"/>
        <w:rPr>
          <w:rFonts w:hint="eastAsia"/>
        </w:rPr>
      </w:pPr>
      <w:r>
        <w:rPr>
          <w:rFonts w:hint="eastAsia"/>
        </w:rPr>
        <w:t>工单全生命周期管理：服务台工作严格遵循“报障受理→分析判断→解决事件→工单关闭→录入知识库→客户回访”的流程，该流程已在iTop中完美实现。</w:t>
      </w:r>
    </w:p>
    <w:p w14:paraId="076C3F21">
      <w:pPr>
        <w:pStyle w:val="29"/>
        <w:numPr>
          <w:ilvl w:val="0"/>
          <w:numId w:val="0"/>
        </w:numPr>
        <w:bidi w:val="0"/>
        <w:ind w:leftChars="0"/>
        <w:rPr>
          <w:rFonts w:hint="eastAsia" w:eastAsia="宋体"/>
          <w:lang w:eastAsia="zh-CN"/>
        </w:rPr>
      </w:pPr>
      <w:r>
        <w:rPr>
          <w:rFonts w:hint="eastAsia"/>
        </w:rPr>
        <w:t>具体应用</w:t>
      </w:r>
      <w:r>
        <w:rPr>
          <w:rFonts w:hint="eastAsia"/>
          <w:lang w:eastAsia="zh-CN"/>
        </w:rPr>
        <w:t>：</w:t>
      </w:r>
    </w:p>
    <w:p w14:paraId="0DD4DA9F">
      <w:pPr>
        <w:pStyle w:val="29"/>
        <w:numPr>
          <w:ilvl w:val="0"/>
          <w:numId w:val="2"/>
        </w:numPr>
        <w:bidi w:val="0"/>
        <w:ind w:left="425" w:leftChars="0" w:hanging="425" w:firstLineChars="0"/>
        <w:rPr>
          <w:rFonts w:hint="eastAsia"/>
        </w:rPr>
      </w:pPr>
      <w:r>
        <w:rPr>
          <w:rFonts w:hint="eastAsia"/>
        </w:rPr>
        <w:t>受理与记录：客户通过电话、微信等渠道提出的请求，由服务台在iTop中创建工单（分为“服务需求”与“事件工单”），并详细记录客户信息、需求及环境信息。</w:t>
      </w:r>
    </w:p>
    <w:p w14:paraId="78DDC7E1">
      <w:pPr>
        <w:pStyle w:val="29"/>
        <w:numPr>
          <w:ilvl w:val="0"/>
          <w:numId w:val="2"/>
        </w:numPr>
        <w:bidi w:val="0"/>
        <w:ind w:left="425" w:leftChars="0" w:hanging="425" w:firstLineChars="0"/>
        <w:rPr>
          <w:rFonts w:hint="eastAsia"/>
        </w:rPr>
      </w:pPr>
      <w:r>
        <w:rPr>
          <w:rFonts w:hint="eastAsia"/>
        </w:rPr>
        <w:t>分析与分派：服务台根据iTop中预设的服务目录、影响度和紧急度，判断优先级并分配给对应的工程师。</w:t>
      </w:r>
    </w:p>
    <w:p w14:paraId="7FE44288">
      <w:pPr>
        <w:pStyle w:val="29"/>
        <w:numPr>
          <w:ilvl w:val="0"/>
          <w:numId w:val="2"/>
        </w:numPr>
        <w:bidi w:val="0"/>
        <w:ind w:left="425" w:leftChars="0" w:hanging="425" w:firstLineChars="0"/>
        <w:rPr>
          <w:rFonts w:hint="eastAsia"/>
        </w:rPr>
      </w:pPr>
      <w:r>
        <w:rPr>
          <w:rFonts w:hint="eastAsia"/>
        </w:rPr>
        <w:t>处理与升级：工程师处理能力范围内的事件；对于无法解决的问题，通过iTop进行工单升级，流程清晰，责任明确。</w:t>
      </w:r>
    </w:p>
    <w:p w14:paraId="4C336B11">
      <w:pPr>
        <w:pStyle w:val="29"/>
        <w:numPr>
          <w:ilvl w:val="0"/>
          <w:numId w:val="2"/>
        </w:numPr>
        <w:bidi w:val="0"/>
        <w:ind w:left="425" w:leftChars="0" w:hanging="425" w:firstLineChars="0"/>
        <w:rPr>
          <w:rFonts w:hint="eastAsia"/>
        </w:rPr>
      </w:pPr>
      <w:r>
        <w:rPr>
          <w:rFonts w:hint="eastAsia"/>
        </w:rPr>
        <w:t>关闭与确认：事件解决后，服务台通过iTop向客户更新结果，确认后关闭工单，形成处理闭环。</w:t>
      </w:r>
    </w:p>
    <w:p w14:paraId="227F2E31">
      <w:pPr>
        <w:pStyle w:val="30"/>
        <w:bidi w:val="0"/>
        <w:rPr>
          <w:rFonts w:hint="eastAsia"/>
        </w:rPr>
      </w:pPr>
      <w:bookmarkStart w:id="4" w:name="_Toc470"/>
      <w:r>
        <w:rPr>
          <w:rFonts w:hint="eastAsia"/>
        </w:rPr>
        <w:t>规范的服务行为与专业形象</w:t>
      </w:r>
      <w:bookmarkEnd w:id="4"/>
    </w:p>
    <w:p w14:paraId="6CB32525">
      <w:pPr>
        <w:pStyle w:val="29"/>
        <w:bidi w:val="0"/>
        <w:rPr>
          <w:rFonts w:hint="eastAsia"/>
        </w:rPr>
      </w:pPr>
      <w:r>
        <w:rPr>
          <w:rFonts w:hint="eastAsia"/>
        </w:rPr>
        <w:t>服务台人员严格遵循制度中“接听规范”与“接听禁止用语和推荐用语”，使用标准、礼貌的服务用语。</w:t>
      </w:r>
    </w:p>
    <w:p w14:paraId="579D7A19">
      <w:pPr>
        <w:pStyle w:val="29"/>
        <w:bidi w:val="0"/>
      </w:pPr>
      <w:r>
        <w:rPr>
          <w:rFonts w:hint="eastAsia"/>
        </w:rPr>
        <w:t>通过iTop系统的工单记录与客户门户，确保了与客户沟通的及时性、准确性和透明度，有效提升了客户体验。</w:t>
      </w:r>
      <w:r>
        <w:drawing>
          <wp:inline distT="0" distB="0" distL="114300" distR="114300">
            <wp:extent cx="5547995" cy="2847340"/>
            <wp:effectExtent l="0" t="0" r="14605"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547995" cy="2847340"/>
                    </a:xfrm>
                    <a:prstGeom prst="rect">
                      <a:avLst/>
                    </a:prstGeom>
                    <a:noFill/>
                    <a:ln>
                      <a:noFill/>
                    </a:ln>
                  </pic:spPr>
                </pic:pic>
              </a:graphicData>
            </a:graphic>
          </wp:inline>
        </w:drawing>
      </w:r>
    </w:p>
    <w:p w14:paraId="5BC0EA87">
      <w:pPr>
        <w:pStyle w:val="29"/>
        <w:bidi w:val="0"/>
        <w:ind w:left="0" w:leftChars="0" w:right="0" w:rightChars="0" w:firstLine="0" w:firstLineChars="0"/>
        <w:jc w:val="center"/>
        <w:rPr>
          <w:rFonts w:hint="eastAsia"/>
          <w:lang w:val="en-US" w:eastAsia="zh-CN"/>
        </w:rPr>
      </w:pPr>
      <w:r>
        <w:rPr>
          <w:rFonts w:hint="eastAsia"/>
          <w:lang w:val="en-US" w:eastAsia="zh-CN"/>
        </w:rPr>
        <w:t>新建服务需求</w:t>
      </w:r>
    </w:p>
    <w:p w14:paraId="3526093B">
      <w:pPr>
        <w:pStyle w:val="29"/>
        <w:bidi w:val="0"/>
        <w:ind w:left="0" w:leftChars="0" w:right="0" w:rightChars="0" w:firstLine="0" w:firstLineChars="0"/>
        <w:jc w:val="center"/>
      </w:pPr>
      <w:r>
        <w:drawing>
          <wp:inline distT="0" distB="0" distL="114300" distR="114300">
            <wp:extent cx="5547995" cy="3380105"/>
            <wp:effectExtent l="0" t="0" r="14605"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547995" cy="3380105"/>
                    </a:xfrm>
                    <a:prstGeom prst="rect">
                      <a:avLst/>
                    </a:prstGeom>
                    <a:noFill/>
                    <a:ln>
                      <a:noFill/>
                    </a:ln>
                  </pic:spPr>
                </pic:pic>
              </a:graphicData>
            </a:graphic>
          </wp:inline>
        </w:drawing>
      </w:r>
    </w:p>
    <w:p w14:paraId="272126E2">
      <w:pPr>
        <w:pStyle w:val="29"/>
        <w:bidi w:val="0"/>
        <w:ind w:left="0" w:leftChars="0" w:right="0" w:rightChars="0" w:firstLine="0" w:firstLineChars="0"/>
        <w:jc w:val="center"/>
        <w:rPr>
          <w:rFonts w:hint="eastAsia"/>
          <w:lang w:val="en-US" w:eastAsia="zh-CN"/>
        </w:rPr>
      </w:pPr>
      <w:r>
        <w:rPr>
          <w:rFonts w:hint="eastAsia"/>
          <w:lang w:val="en-US" w:eastAsia="zh-CN"/>
        </w:rPr>
        <w:t>分配工程师</w:t>
      </w:r>
    </w:p>
    <w:p w14:paraId="781FD6EF">
      <w:pPr>
        <w:pStyle w:val="29"/>
        <w:bidi w:val="0"/>
        <w:ind w:left="0" w:leftChars="0" w:right="0" w:rightChars="0" w:firstLine="0" w:firstLineChars="0"/>
        <w:jc w:val="center"/>
        <w:rPr>
          <w:rFonts w:hint="eastAsia"/>
          <w:lang w:val="en-US" w:eastAsia="zh-CN"/>
        </w:rPr>
      </w:pPr>
    </w:p>
    <w:p w14:paraId="7C530052">
      <w:pPr>
        <w:pStyle w:val="29"/>
        <w:bidi w:val="0"/>
        <w:ind w:left="0" w:leftChars="0" w:right="0" w:rightChars="0" w:firstLine="0" w:firstLineChars="0"/>
        <w:jc w:val="center"/>
      </w:pPr>
      <w:r>
        <w:drawing>
          <wp:inline distT="0" distB="0" distL="114300" distR="114300">
            <wp:extent cx="5553075" cy="3528695"/>
            <wp:effectExtent l="0" t="0" r="9525" b="146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5553075" cy="3528695"/>
                    </a:xfrm>
                    <a:prstGeom prst="rect">
                      <a:avLst/>
                    </a:prstGeom>
                    <a:noFill/>
                    <a:ln>
                      <a:noFill/>
                    </a:ln>
                  </pic:spPr>
                </pic:pic>
              </a:graphicData>
            </a:graphic>
          </wp:inline>
        </w:drawing>
      </w:r>
    </w:p>
    <w:p w14:paraId="1C30E153">
      <w:pPr>
        <w:pStyle w:val="29"/>
        <w:bidi w:val="0"/>
        <w:ind w:left="0" w:leftChars="0" w:right="0" w:rightChars="0" w:firstLine="0" w:firstLineChars="0"/>
        <w:jc w:val="center"/>
        <w:rPr>
          <w:rFonts w:hint="eastAsia"/>
          <w:lang w:val="en-US" w:eastAsia="zh-CN"/>
        </w:rPr>
      </w:pPr>
      <w:r>
        <w:rPr>
          <w:rFonts w:hint="eastAsia"/>
          <w:lang w:val="en-US" w:eastAsia="zh-CN"/>
        </w:rPr>
        <w:t>服务需求</w:t>
      </w:r>
    </w:p>
    <w:p w14:paraId="208373A7">
      <w:pPr>
        <w:pStyle w:val="29"/>
        <w:bidi w:val="0"/>
        <w:ind w:left="0" w:leftChars="0" w:right="0" w:rightChars="0" w:firstLine="0" w:firstLineChars="0"/>
        <w:jc w:val="center"/>
      </w:pPr>
      <w:r>
        <w:drawing>
          <wp:inline distT="0" distB="0" distL="114300" distR="114300">
            <wp:extent cx="5548630" cy="3682365"/>
            <wp:effectExtent l="0" t="0" r="13970" b="133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5548630" cy="3682365"/>
                    </a:xfrm>
                    <a:prstGeom prst="rect">
                      <a:avLst/>
                    </a:prstGeom>
                    <a:noFill/>
                    <a:ln>
                      <a:noFill/>
                    </a:ln>
                  </pic:spPr>
                </pic:pic>
              </a:graphicData>
            </a:graphic>
          </wp:inline>
        </w:drawing>
      </w:r>
    </w:p>
    <w:p w14:paraId="428B9DE2">
      <w:pPr>
        <w:pStyle w:val="29"/>
        <w:bidi w:val="0"/>
        <w:ind w:left="0" w:leftChars="0" w:right="0" w:rightChars="0" w:firstLine="0" w:firstLineChars="0"/>
        <w:jc w:val="center"/>
        <w:rPr>
          <w:rFonts w:hint="default" w:eastAsia="宋体"/>
          <w:lang w:val="en-US" w:eastAsia="zh-CN"/>
        </w:rPr>
      </w:pPr>
      <w:r>
        <w:rPr>
          <w:rFonts w:hint="eastAsia"/>
          <w:lang w:val="en-US" w:eastAsia="zh-CN"/>
        </w:rPr>
        <w:t>事件工单</w:t>
      </w:r>
    </w:p>
    <w:p w14:paraId="2B36639C">
      <w:pPr>
        <w:pStyle w:val="30"/>
        <w:bidi w:val="0"/>
        <w:rPr>
          <w:rFonts w:hint="eastAsia"/>
        </w:rPr>
      </w:pPr>
      <w:bookmarkStart w:id="5" w:name="_Toc15738"/>
      <w:r>
        <w:rPr>
          <w:rFonts w:hint="eastAsia"/>
        </w:rPr>
        <w:t>闭环的质量管理与持续改进</w:t>
      </w:r>
      <w:bookmarkEnd w:id="5"/>
    </w:p>
    <w:p w14:paraId="2ED31007">
      <w:pPr>
        <w:pStyle w:val="29"/>
        <w:bidi w:val="0"/>
        <w:rPr>
          <w:rFonts w:hint="eastAsia"/>
        </w:rPr>
      </w:pPr>
      <w:r>
        <w:rPr>
          <w:rFonts w:hint="eastAsia"/>
        </w:rPr>
        <w:t>服务效率稳定达标：根据2025年KPI跟踪数据，核心指标“服务台请求关闭率”月度均值为</w:t>
      </w:r>
      <w:r>
        <w:rPr>
          <w:rFonts w:hint="eastAsia"/>
          <w:lang w:val="en-US" w:eastAsia="zh-CN"/>
        </w:rPr>
        <w:t>96.4</w:t>
      </w:r>
      <w:r>
        <w:rPr>
          <w:rFonts w:hint="eastAsia"/>
        </w:rPr>
        <w:t>%（1-10月数据</w:t>
      </w:r>
      <w:r>
        <w:rPr>
          <w:rFonts w:hint="eastAsia"/>
          <w:lang w:val="en-US" w:eastAsia="zh-CN"/>
        </w:rPr>
        <w:t>分别为96%，97%，97%，98%，97%，96%，95%，98%，95%，95%</w:t>
      </w:r>
      <w:r>
        <w:rPr>
          <w:rFonts w:hint="eastAsia"/>
        </w:rPr>
        <w:t>），稳定超过≥95%</w:t>
      </w:r>
      <w:bookmarkStart w:id="8" w:name="_GoBack"/>
      <w:bookmarkEnd w:id="8"/>
      <w:r>
        <w:rPr>
          <w:rFonts w:hint="eastAsia"/>
        </w:rPr>
        <w:t xml:space="preserve"> 的目标，证明了服务台流程的顺畅与高效。</w:t>
      </w:r>
    </w:p>
    <w:p w14:paraId="1718B621">
      <w:pPr>
        <w:pStyle w:val="29"/>
        <w:bidi w:val="0"/>
        <w:rPr>
          <w:rFonts w:hint="eastAsia"/>
        </w:rPr>
      </w:pPr>
      <w:r>
        <w:rPr>
          <w:rFonts w:hint="eastAsia"/>
        </w:rPr>
        <w:t>服务质量获得客户认可：指标“事件解决用户满意度”连续10个月达到100%，远超≥90% 的目标，这直接印证了服务台在沟通、跟踪及最终服务交付环节的质量获得了客户的高度评价。</w:t>
      </w:r>
      <w:r>
        <w:rPr>
          <w:rFonts w:hint="eastAsia"/>
          <w:lang w:val="en-US" w:eastAsia="zh-CN"/>
        </w:rPr>
        <w:t>组织级客户满意度更是达到96.2分，得到了客户的充分认可。</w:t>
      </w:r>
    </w:p>
    <w:p w14:paraId="68C34AB1">
      <w:pPr>
        <w:pStyle w:val="29"/>
        <w:bidi w:val="0"/>
        <w:rPr>
          <w:rFonts w:hint="eastAsia"/>
        </w:rPr>
      </w:pPr>
      <w:r>
        <w:rPr>
          <w:rFonts w:hint="eastAsia"/>
        </w:rPr>
        <w:t>知识管理有效落实：指标“新增知识条目”月度均超额完成≥5条的目标，“问题转知识的比率”季度达标，体现了制度要求的经验总结与知识沉淀机制在iTop和PingCode知识库中得到了有效执行。</w:t>
      </w:r>
    </w:p>
    <w:p w14:paraId="6DA11603">
      <w:pPr>
        <w:pStyle w:val="29"/>
        <w:bidi w:val="0"/>
        <w:rPr>
          <w:rFonts w:hint="eastAsia"/>
        </w:rPr>
      </w:pPr>
      <w:r>
        <w:rPr>
          <w:rFonts w:hint="eastAsia"/>
        </w:rPr>
        <w:t>全面的过程质量保证：相关的“SLA达成率”、“事件解决率”等过程指标均持续达标，形成了对服务台工作的有力支撑，共同保障了终端客户的优质体验。</w:t>
      </w:r>
    </w:p>
    <w:p w14:paraId="4C5F6957">
      <w:pPr>
        <w:pStyle w:val="29"/>
        <w:bidi w:val="0"/>
        <w:rPr>
          <w:rFonts w:hint="eastAsia"/>
        </w:rPr>
      </w:pPr>
      <w:r>
        <w:rPr>
          <w:rFonts w:hint="eastAsia"/>
        </w:rPr>
        <w:t>服务台考核：技术部经理定期依据制度中的KPI和考核维度，利用iTop报表数据填写《服务台服务质量考核表》，考核结果计入个人绩效，实现了管理的闭环。</w:t>
      </w:r>
    </w:p>
    <w:p w14:paraId="2B24932F">
      <w:pPr>
        <w:pStyle w:val="28"/>
        <w:bidi w:val="0"/>
        <w:rPr>
          <w:rFonts w:hint="eastAsia"/>
        </w:rPr>
      </w:pPr>
      <w:bookmarkStart w:id="6" w:name="_Toc10084"/>
      <w:r>
        <w:rPr>
          <w:rFonts w:hint="eastAsia"/>
        </w:rPr>
        <w:t>应用成效总结</w:t>
      </w:r>
      <w:bookmarkEnd w:id="6"/>
    </w:p>
    <w:p w14:paraId="6BA4E328">
      <w:pPr>
        <w:pStyle w:val="29"/>
        <w:bidi w:val="0"/>
        <w:rPr>
          <w:rFonts w:hint="eastAsia"/>
        </w:rPr>
      </w:pPr>
      <w:r>
        <w:rPr>
          <w:rFonts w:hint="eastAsia"/>
        </w:rPr>
        <w:t>自本制度与iTop系统结合应用以来，公司服务台的管理与运营取得了显著成效：</w:t>
      </w:r>
    </w:p>
    <w:p w14:paraId="05C5ADF5">
      <w:pPr>
        <w:pStyle w:val="29"/>
        <w:bidi w:val="0"/>
        <w:rPr>
          <w:rFonts w:hint="eastAsia"/>
        </w:rPr>
      </w:pPr>
      <w:r>
        <w:rPr>
          <w:rFonts w:hint="eastAsia"/>
        </w:rPr>
        <w:t>流程标准化：通过iTop将制度流程固化，杜绝了随意性，运维效率显著提升。</w:t>
      </w:r>
    </w:p>
    <w:p w14:paraId="0A37CA7A">
      <w:pPr>
        <w:pStyle w:val="29"/>
        <w:bidi w:val="0"/>
        <w:rPr>
          <w:rFonts w:hint="eastAsia"/>
        </w:rPr>
      </w:pPr>
      <w:r>
        <w:rPr>
          <w:rFonts w:hint="eastAsia"/>
        </w:rPr>
        <w:t>服务可视化：工单状态实时更新，处理进度对客户透明，增强了客户信任感。</w:t>
      </w:r>
    </w:p>
    <w:p w14:paraId="55A00BF9">
      <w:pPr>
        <w:pStyle w:val="29"/>
        <w:bidi w:val="0"/>
        <w:rPr>
          <w:rFonts w:hint="eastAsia"/>
        </w:rPr>
      </w:pPr>
      <w:r>
        <w:rPr>
          <w:rFonts w:hint="eastAsia"/>
        </w:rPr>
        <w:t>管理数据化：基于iTop的报表功能，对SLA、工单数量、解决时长等KPI进行量化监控，为管理决策提供了精准数据支持。</w:t>
      </w:r>
    </w:p>
    <w:p w14:paraId="3E22974E">
      <w:pPr>
        <w:pStyle w:val="29"/>
        <w:bidi w:val="0"/>
        <w:rPr>
          <w:rFonts w:hint="eastAsia"/>
        </w:rPr>
      </w:pPr>
      <w:r>
        <w:rPr>
          <w:rFonts w:hint="eastAsia"/>
        </w:rPr>
        <w:t>知识资产化：初步建立了与运维流程联动的知识管理体系，提升了团队整体解决问题的能力和效率。</w:t>
      </w:r>
    </w:p>
    <w:p w14:paraId="35375089">
      <w:pPr>
        <w:pStyle w:val="28"/>
        <w:bidi w:val="0"/>
        <w:rPr>
          <w:rFonts w:hint="eastAsia"/>
        </w:rPr>
      </w:pPr>
      <w:bookmarkStart w:id="7" w:name="_Toc22097"/>
      <w:r>
        <w:rPr>
          <w:rFonts w:hint="eastAsia"/>
        </w:rPr>
        <w:t>结论</w:t>
      </w:r>
      <w:bookmarkEnd w:id="7"/>
    </w:p>
    <w:p w14:paraId="450B7899">
      <w:pPr>
        <w:pStyle w:val="29"/>
        <w:bidi w:val="0"/>
      </w:pPr>
      <w:r>
        <w:rPr>
          <w:rFonts w:hint="eastAsia"/>
        </w:rPr>
        <w:t>综上所述，公司的服务台已建立起一套 “制度引领、工具支撑、流程闭环、持续改进” 的成熟运行体系。该体系不仅完全符合《服务台管理制度》的规范要求，更通过iTop等工具实现了高效落地，为公司运维服务质量的持续提升和客户满意度的不断提高奠定了坚实基础。</w:t>
      </w:r>
    </w:p>
    <w:sectPr>
      <w:headerReference r:id="rId5" w:type="default"/>
      <w:footerReference r:id="rId6" w:type="default"/>
      <w:pgSz w:w="11906" w:h="16839"/>
      <w:pgMar w:top="1122" w:right="1581" w:bottom="1306" w:left="1580" w:header="597" w:footer="113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B581E">
    <w:pPr>
      <w:spacing w:line="182" w:lineRule="auto"/>
      <w:ind w:left="4332"/>
      <w:rPr>
        <w:rFonts w:ascii="Arial" w:hAnsi="Arial" w:eastAsia="Arial" w:cs="Arial"/>
        <w:sz w:val="18"/>
        <w:szCs w:val="18"/>
      </w:rPr>
    </w:pPr>
    <w:r>
      <w:rPr>
        <w:rFonts w:ascii="Arial" w:hAnsi="Arial" w:eastAsia="Arial" w:cs="Arial"/>
        <w:sz w:val="18"/>
        <w:szCs w:val="18"/>
      </w:rPr>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365F7">
    <w:pPr>
      <w:pStyle w:val="15"/>
      <w:jc w:val="right"/>
    </w:pPr>
    <w:r>
      <w:rPr>
        <w:rFonts w:ascii="宋体" w:hAnsi="宋体" w:eastAsia="宋体" w:cs="宋体"/>
        <w:sz w:val="20"/>
        <w:szCs w:val="20"/>
      </w:rPr>
      <w:t>SciWell</w:t>
    </w:r>
    <w:r>
      <w:rPr>
        <w:rFonts w:ascii="宋体" w:hAnsi="宋体" w:eastAsia="宋体" w:cs="宋体"/>
        <w:spacing w:val="10"/>
        <w:sz w:val="20"/>
        <w:szCs w:val="20"/>
      </w:rPr>
      <w:t>-</w:t>
    </w:r>
    <w:r>
      <w:rPr>
        <w:rFonts w:ascii="宋体" w:hAnsi="宋体" w:eastAsia="宋体" w:cs="宋体"/>
        <w:sz w:val="20"/>
        <w:szCs w:val="20"/>
      </w:rPr>
      <w:t>ITSS</w:t>
    </w:r>
    <w:r>
      <w:rPr>
        <w:rFonts w:ascii="宋体" w:hAnsi="宋体" w:eastAsia="宋体" w:cs="宋体"/>
        <w:spacing w:val="10"/>
        <w:sz w:val="20"/>
        <w:szCs w:val="20"/>
      </w:rPr>
      <w:t>-</w:t>
    </w:r>
    <w:r>
      <w:rPr>
        <w:rFonts w:ascii="宋体" w:hAnsi="宋体" w:eastAsia="宋体" w:cs="宋体"/>
        <w:sz w:val="20"/>
        <w:szCs w:val="20"/>
      </w:rPr>
      <w:t>YW</w:t>
    </w:r>
    <w:r>
      <w:rPr>
        <w:rFonts w:ascii="宋体" w:hAnsi="宋体" w:eastAsia="宋体" w:cs="宋体"/>
        <w:spacing w:val="10"/>
        <w:sz w:val="20"/>
        <w:szCs w:val="20"/>
      </w:rPr>
      <w:t>-11-0</w:t>
    </w:r>
    <w:r>
      <w:rPr>
        <w:rFonts w:hint="eastAsia" w:ascii="宋体" w:hAnsi="宋体" w:eastAsia="宋体" w:cs="宋体"/>
        <w:spacing w:val="10"/>
        <w:sz w:val="20"/>
        <w:szCs w:val="20"/>
        <w:lang w:val="en-US" w:eastAsia="zh-CN"/>
      </w:rPr>
      <w:t>2</w:t>
    </w:r>
    <w:r>
      <w:rPr>
        <w:rFonts w:ascii="宋体" w:hAnsi="宋体" w:eastAsia="宋体" w:cs="宋体"/>
        <w:spacing w:val="10"/>
        <w:sz w:val="20"/>
        <w:szCs w:val="20"/>
      </w:rPr>
      <w:t>服务台</w:t>
    </w:r>
    <w:r>
      <w:rPr>
        <w:rFonts w:hint="eastAsia" w:ascii="宋体" w:hAnsi="宋体" w:eastAsia="宋体" w:cs="宋体"/>
        <w:spacing w:val="10"/>
        <w:sz w:val="20"/>
        <w:szCs w:val="20"/>
        <w:lang w:val="en-US" w:eastAsia="zh-CN"/>
      </w:rPr>
      <w:t>应用情况说明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E3EDEC8"/>
    <w:multiLevelType w:val="singleLevel"/>
    <w:tmpl w:val="7E3EDEC8"/>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39E740C"/>
    <w:rsid w:val="0B0F7360"/>
    <w:rsid w:val="0CC50E80"/>
    <w:rsid w:val="0CFB02F0"/>
    <w:rsid w:val="0D2A1D10"/>
    <w:rsid w:val="0D7F5FE1"/>
    <w:rsid w:val="10525806"/>
    <w:rsid w:val="122344D0"/>
    <w:rsid w:val="17AA23CB"/>
    <w:rsid w:val="1CED6FE2"/>
    <w:rsid w:val="2965371A"/>
    <w:rsid w:val="2B911481"/>
    <w:rsid w:val="325D030E"/>
    <w:rsid w:val="387C7014"/>
    <w:rsid w:val="39101C78"/>
    <w:rsid w:val="3C575DCE"/>
    <w:rsid w:val="3E3671A0"/>
    <w:rsid w:val="3F62300E"/>
    <w:rsid w:val="47F02CCF"/>
    <w:rsid w:val="4B5F07FC"/>
    <w:rsid w:val="4C7C718B"/>
    <w:rsid w:val="57B36157"/>
    <w:rsid w:val="59AA17DC"/>
    <w:rsid w:val="5AC4067B"/>
    <w:rsid w:val="5FFC2424"/>
    <w:rsid w:val="6041662C"/>
    <w:rsid w:val="62D277D9"/>
    <w:rsid w:val="648F1CFA"/>
    <w:rsid w:val="64AB0E2F"/>
    <w:rsid w:val="6CDC1854"/>
    <w:rsid w:val="6DBE0F5A"/>
    <w:rsid w:val="6E012B4E"/>
    <w:rsid w:val="6E8977BA"/>
    <w:rsid w:val="7238577F"/>
    <w:rsid w:val="727F33AE"/>
    <w:rsid w:val="74885745"/>
    <w:rsid w:val="79404F19"/>
    <w:rsid w:val="7EA128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19"/>
    <w:qFormat/>
    <w:uiPriority w:val="0"/>
    <w:pPr>
      <w:spacing w:after="900" w:afterLines="900"/>
    </w:pPr>
    <w:rPr>
      <w:rFonts w:ascii="黑体" w:hAnsi="黑体" w:eastAsia="黑体" w:cs="黑体"/>
      <w:bCs/>
      <w:spacing w:val="-7"/>
      <w:sz w:val="52"/>
      <w:szCs w:val="52"/>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1620</Words>
  <Characters>1804</Characters>
  <TotalTime>8</TotalTime>
  <ScaleCrop>false</ScaleCrop>
  <LinksUpToDate>false</LinksUpToDate>
  <CharactersWithSpaces>1855</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2022-12-14T14:45:00Z</dcterms:created>
  <dc:creator>CN=刘媛媛/O=CNCIS</dc:creator>
  <cp:lastModifiedBy>郝宇</cp:lastModifiedBy>
  <dcterms:modified xsi:type="dcterms:W3CDTF">2025-11-04T16:39:55Z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2025-10-31T06:30:08Z</vt:filetime>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12F340D4E8FC4953BABC2495C2C8C5CE_12</vt:lpwstr>
  </property>
</Properties>
</file>