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E9AEB">
      <w:pPr>
        <w:spacing w:line="251" w:lineRule="auto"/>
        <w:rPr>
          <w:rFonts w:ascii="Arial"/>
          <w:sz w:val="21"/>
        </w:rPr>
      </w:pPr>
    </w:p>
    <w:p w14:paraId="3B2EDB8F">
      <w:pPr>
        <w:spacing w:line="251" w:lineRule="auto"/>
        <w:rPr>
          <w:rFonts w:ascii="Arial"/>
          <w:sz w:val="21"/>
        </w:rPr>
      </w:pPr>
    </w:p>
    <w:p w14:paraId="384D8FD6">
      <w:pPr>
        <w:spacing w:line="251" w:lineRule="auto"/>
        <w:rPr>
          <w:rFonts w:ascii="Arial"/>
          <w:sz w:val="21"/>
        </w:rPr>
      </w:pPr>
    </w:p>
    <w:p w14:paraId="377BF211">
      <w:pPr>
        <w:spacing w:line="252" w:lineRule="auto"/>
        <w:rPr>
          <w:rFonts w:ascii="Arial"/>
          <w:sz w:val="21"/>
        </w:rPr>
      </w:pPr>
    </w:p>
    <w:p w14:paraId="19CA4046">
      <w:pPr>
        <w:spacing w:line="252" w:lineRule="auto"/>
        <w:rPr>
          <w:rFonts w:ascii="Arial"/>
          <w:sz w:val="21"/>
        </w:rPr>
      </w:pPr>
    </w:p>
    <w:p w14:paraId="43B64F55">
      <w:pPr>
        <w:spacing w:line="252" w:lineRule="auto"/>
        <w:rPr>
          <w:rFonts w:ascii="Arial"/>
          <w:sz w:val="21"/>
        </w:rPr>
      </w:pPr>
    </w:p>
    <w:p w14:paraId="104C82BE">
      <w:pPr>
        <w:spacing w:line="252" w:lineRule="auto"/>
        <w:rPr>
          <w:rFonts w:ascii="Arial"/>
          <w:sz w:val="21"/>
        </w:rPr>
      </w:pPr>
    </w:p>
    <w:p w14:paraId="1C8645CA">
      <w:pPr>
        <w:spacing w:line="870" w:lineRule="exact"/>
        <w:ind w:firstLine="94"/>
      </w:pPr>
      <w:r>
        <w:rPr>
          <w:position w:val="-17"/>
        </w:rPr>
        <w:drawing>
          <wp:inline distT="0" distB="0" distL="0" distR="0">
            <wp:extent cx="5166360" cy="5524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414" cy="55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0FB">
      <w:pPr>
        <w:spacing w:line="273" w:lineRule="auto"/>
        <w:rPr>
          <w:rFonts w:ascii="Arial"/>
          <w:sz w:val="21"/>
        </w:rPr>
      </w:pPr>
    </w:p>
    <w:p w14:paraId="3EF153E1">
      <w:pPr>
        <w:spacing w:line="273" w:lineRule="auto"/>
        <w:rPr>
          <w:rFonts w:ascii="Arial"/>
          <w:sz w:val="21"/>
        </w:rPr>
      </w:pPr>
    </w:p>
    <w:p w14:paraId="001BC13D">
      <w:pPr>
        <w:spacing w:line="273" w:lineRule="auto"/>
        <w:rPr>
          <w:rFonts w:ascii="Arial"/>
          <w:sz w:val="21"/>
        </w:rPr>
      </w:pPr>
    </w:p>
    <w:p w14:paraId="241BC219">
      <w:pPr>
        <w:spacing w:line="273" w:lineRule="auto"/>
        <w:rPr>
          <w:rFonts w:ascii="Arial"/>
          <w:sz w:val="21"/>
        </w:rPr>
      </w:pPr>
    </w:p>
    <w:p w14:paraId="6C9484FF">
      <w:pPr>
        <w:spacing w:line="273" w:lineRule="auto"/>
        <w:rPr>
          <w:rFonts w:ascii="Arial"/>
          <w:sz w:val="21"/>
        </w:rPr>
      </w:pPr>
    </w:p>
    <w:p w14:paraId="05041355">
      <w:pPr>
        <w:spacing w:line="273" w:lineRule="auto"/>
        <w:rPr>
          <w:rFonts w:ascii="Arial"/>
          <w:sz w:val="21"/>
        </w:rPr>
      </w:pPr>
    </w:p>
    <w:p w14:paraId="0D274102">
      <w:pPr>
        <w:spacing w:before="153" w:line="492" w:lineRule="auto"/>
        <w:ind w:left="0" w:leftChars="0" w:right="0" w:rightChars="0" w:firstLine="0" w:firstLineChars="0"/>
        <w:jc w:val="center"/>
        <w:rPr>
          <w:rFonts w:ascii="宋体" w:hAnsi="宋体" w:eastAsia="宋体" w:cs="宋体"/>
          <w:b/>
          <w:bCs/>
          <w:spacing w:val="4"/>
          <w:sz w:val="47"/>
          <w:szCs w:val="47"/>
        </w:rPr>
      </w:pPr>
      <w:r>
        <w:rPr>
          <w:rFonts w:ascii="宋体" w:hAnsi="宋体" w:eastAsia="宋体" w:cs="宋体"/>
          <w:b/>
          <w:bCs/>
          <w:spacing w:val="4"/>
          <w:sz w:val="47"/>
          <w:szCs w:val="47"/>
        </w:rPr>
        <w:t>天津市科远系统工程有限公司</w:t>
      </w:r>
    </w:p>
    <w:p w14:paraId="0DB26A25">
      <w:pPr>
        <w:spacing w:before="153" w:line="492" w:lineRule="auto"/>
        <w:ind w:left="0" w:leftChars="0" w:right="0" w:rightChars="0" w:firstLine="0" w:firstLineChars="0"/>
        <w:jc w:val="center"/>
        <w:rPr>
          <w:rFonts w:hint="default" w:ascii="宋体" w:hAnsi="宋体" w:eastAsia="宋体" w:cs="宋体"/>
          <w:sz w:val="47"/>
          <w:szCs w:val="47"/>
          <w:lang w:val="en-US" w:eastAsia="zh-CN"/>
        </w:rPr>
      </w:pPr>
      <w:r>
        <w:rPr>
          <w:rFonts w:hint="eastAsia" w:ascii="宋体" w:hAnsi="宋体" w:cs="宋体"/>
          <w:b/>
          <w:bCs/>
          <w:spacing w:val="4"/>
          <w:sz w:val="47"/>
          <w:szCs w:val="47"/>
          <w:lang w:val="en-US" w:eastAsia="zh-CN"/>
        </w:rPr>
        <w:t>备件库</w:t>
      </w:r>
      <w:r>
        <w:rPr>
          <w:rFonts w:hint="eastAsia" w:ascii="宋体" w:hAnsi="宋体" w:eastAsia="宋体" w:cs="宋体"/>
          <w:b/>
          <w:bCs/>
          <w:spacing w:val="4"/>
          <w:sz w:val="47"/>
          <w:szCs w:val="47"/>
          <w:lang w:val="en-US" w:eastAsia="zh-CN"/>
        </w:rPr>
        <w:t>应用情况说明</w:t>
      </w:r>
    </w:p>
    <w:p w14:paraId="72D22BF7">
      <w:pPr>
        <w:spacing w:before="12"/>
      </w:pPr>
    </w:p>
    <w:p w14:paraId="5475C977">
      <w:pPr>
        <w:spacing w:before="12"/>
      </w:pPr>
    </w:p>
    <w:p w14:paraId="3409CFC0">
      <w:pPr>
        <w:spacing w:before="12"/>
      </w:pPr>
    </w:p>
    <w:p w14:paraId="6B162A2B">
      <w:pPr>
        <w:spacing w:before="12"/>
      </w:pPr>
    </w:p>
    <w:p w14:paraId="473A1FF0">
      <w:pPr>
        <w:spacing w:before="12"/>
      </w:pPr>
    </w:p>
    <w:p w14:paraId="6BF540F3">
      <w:pPr>
        <w:spacing w:before="12"/>
      </w:pPr>
    </w:p>
    <w:p w14:paraId="23F2F3A2">
      <w:pPr>
        <w:spacing w:before="12"/>
      </w:pPr>
    </w:p>
    <w:p w14:paraId="608C5F41">
      <w:pPr>
        <w:spacing w:before="12"/>
      </w:pPr>
    </w:p>
    <w:p w14:paraId="37ECD696">
      <w:pPr>
        <w:spacing w:before="12"/>
      </w:pPr>
    </w:p>
    <w:p w14:paraId="5D06F9AE">
      <w:pPr>
        <w:spacing w:before="12"/>
      </w:pPr>
    </w:p>
    <w:p w14:paraId="769C31D9">
      <w:pPr>
        <w:spacing w:before="12"/>
      </w:pPr>
    </w:p>
    <w:p w14:paraId="40381B04">
      <w:pPr>
        <w:spacing w:before="12"/>
      </w:pPr>
    </w:p>
    <w:p w14:paraId="4B2658E0">
      <w:pPr>
        <w:spacing w:before="12"/>
      </w:pPr>
    </w:p>
    <w:p w14:paraId="214836C8">
      <w:pPr>
        <w:spacing w:before="11"/>
      </w:pPr>
    </w:p>
    <w:p w14:paraId="2044BFB1">
      <w:pPr>
        <w:spacing w:before="11"/>
      </w:pPr>
    </w:p>
    <w:tbl>
      <w:tblPr>
        <w:tblStyle w:val="24"/>
        <w:tblW w:w="7004" w:type="dxa"/>
        <w:tblInd w:w="6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  <w:gridCol w:w="2691"/>
        <w:gridCol w:w="1282"/>
        <w:gridCol w:w="1702"/>
      </w:tblGrid>
      <w:tr w14:paraId="59018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329" w:type="dxa"/>
            <w:shd w:val="clear" w:color="auto" w:fill="D9D9D9"/>
            <w:vAlign w:val="top"/>
          </w:tcPr>
          <w:p w14:paraId="4D237D19">
            <w:pPr>
              <w:pStyle w:val="25"/>
              <w:spacing w:before="126" w:line="219" w:lineRule="auto"/>
              <w:ind w:left="190"/>
            </w:pPr>
            <w:r>
              <w:rPr>
                <w:b/>
                <w:bCs/>
                <w:spacing w:val="-5"/>
              </w:rPr>
              <w:t>文件编号</w:t>
            </w:r>
          </w:p>
        </w:tc>
        <w:tc>
          <w:tcPr>
            <w:tcW w:w="2691" w:type="dxa"/>
            <w:vAlign w:val="top"/>
          </w:tcPr>
          <w:p w14:paraId="5996F862">
            <w:pPr>
              <w:pStyle w:val="25"/>
              <w:spacing w:before="125"/>
              <w:ind w:left="152"/>
            </w:pPr>
            <w:r>
              <w:rPr>
                <w:spacing w:val="-1"/>
              </w:rPr>
              <w:t>SciWell-ITSS-YW-1101</w:t>
            </w:r>
          </w:p>
        </w:tc>
        <w:tc>
          <w:tcPr>
            <w:tcW w:w="1282" w:type="dxa"/>
            <w:shd w:val="clear" w:color="auto" w:fill="D9D9D9"/>
            <w:vAlign w:val="top"/>
          </w:tcPr>
          <w:p w14:paraId="4A5F351A">
            <w:pPr>
              <w:pStyle w:val="25"/>
              <w:spacing w:before="125" w:line="219" w:lineRule="auto"/>
              <w:ind w:left="528"/>
            </w:pPr>
            <w:r>
              <w:rPr>
                <w:b/>
                <w:bCs/>
                <w:spacing w:val="-8"/>
              </w:rPr>
              <w:t>版本</w:t>
            </w:r>
          </w:p>
        </w:tc>
        <w:tc>
          <w:tcPr>
            <w:tcW w:w="1702" w:type="dxa"/>
            <w:vAlign w:val="top"/>
          </w:tcPr>
          <w:p w14:paraId="2A4C49ED">
            <w:pPr>
              <w:pStyle w:val="25"/>
              <w:spacing w:before="125" w:line="239" w:lineRule="auto"/>
              <w:ind w:left="612"/>
            </w:pPr>
            <w:r>
              <w:rPr>
                <w:spacing w:val="-1"/>
              </w:rPr>
              <w:t>V1.0</w:t>
            </w:r>
          </w:p>
        </w:tc>
      </w:tr>
      <w:tr w14:paraId="725EF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329" w:type="dxa"/>
            <w:shd w:val="clear" w:color="auto" w:fill="D9D9D9"/>
            <w:vAlign w:val="top"/>
          </w:tcPr>
          <w:p w14:paraId="1FCEC52D">
            <w:pPr>
              <w:pStyle w:val="25"/>
              <w:spacing w:before="123" w:line="220" w:lineRule="auto"/>
              <w:ind w:left="429"/>
            </w:pPr>
            <w:r>
              <w:rPr>
                <w:b/>
                <w:bCs/>
                <w:spacing w:val="-8"/>
              </w:rPr>
              <w:t>作者</w:t>
            </w:r>
          </w:p>
        </w:tc>
        <w:tc>
          <w:tcPr>
            <w:tcW w:w="2691" w:type="dxa"/>
            <w:vAlign w:val="top"/>
          </w:tcPr>
          <w:p w14:paraId="043269AC">
            <w:pPr>
              <w:pStyle w:val="25"/>
              <w:spacing w:before="123" w:line="220" w:lineRule="auto"/>
              <w:ind w:left="993"/>
            </w:pPr>
            <w:r>
              <w:rPr>
                <w:spacing w:val="-4"/>
              </w:rPr>
              <w:t>王宇昊</w:t>
            </w:r>
          </w:p>
        </w:tc>
        <w:tc>
          <w:tcPr>
            <w:tcW w:w="1282" w:type="dxa"/>
            <w:shd w:val="clear" w:color="auto" w:fill="D9D9D9"/>
            <w:vAlign w:val="top"/>
          </w:tcPr>
          <w:p w14:paraId="03A3E279">
            <w:pPr>
              <w:pStyle w:val="25"/>
              <w:spacing w:before="124" w:line="219" w:lineRule="auto"/>
              <w:ind w:left="166"/>
            </w:pPr>
            <w:r>
              <w:rPr>
                <w:b/>
                <w:bCs/>
                <w:spacing w:val="-5"/>
              </w:rPr>
              <w:t>编写日期</w:t>
            </w:r>
          </w:p>
        </w:tc>
        <w:tc>
          <w:tcPr>
            <w:tcW w:w="1702" w:type="dxa"/>
            <w:vAlign w:val="top"/>
          </w:tcPr>
          <w:p w14:paraId="3FA711EF">
            <w:pPr>
              <w:pStyle w:val="25"/>
              <w:spacing w:before="123" w:line="238" w:lineRule="auto"/>
              <w:ind w:left="2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</w:tr>
      <w:tr w14:paraId="3AC84F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29" w:type="dxa"/>
            <w:shd w:val="clear" w:color="auto" w:fill="D9D9D9"/>
            <w:vAlign w:val="top"/>
          </w:tcPr>
          <w:p w14:paraId="2F3F5573">
            <w:pPr>
              <w:pStyle w:val="25"/>
              <w:spacing w:before="139" w:line="220" w:lineRule="auto"/>
              <w:ind w:left="441"/>
            </w:pPr>
            <w:r>
              <w:rPr>
                <w:b/>
                <w:bCs/>
                <w:spacing w:val="-14"/>
              </w:rPr>
              <w:t>审核</w:t>
            </w:r>
          </w:p>
        </w:tc>
        <w:tc>
          <w:tcPr>
            <w:tcW w:w="2691" w:type="dxa"/>
            <w:vAlign w:val="top"/>
          </w:tcPr>
          <w:p w14:paraId="78EFBE2A">
            <w:pPr>
              <w:pStyle w:val="25"/>
              <w:spacing w:before="116" w:line="219" w:lineRule="auto"/>
              <w:ind w:left="991"/>
            </w:pPr>
            <w:r>
              <w:rPr>
                <w:spacing w:val="-4"/>
              </w:rPr>
              <w:t>侯永平</w:t>
            </w:r>
          </w:p>
        </w:tc>
        <w:tc>
          <w:tcPr>
            <w:tcW w:w="1282" w:type="dxa"/>
            <w:shd w:val="clear" w:color="auto" w:fill="D9D9D9"/>
            <w:vAlign w:val="top"/>
          </w:tcPr>
          <w:p w14:paraId="780D7BAD">
            <w:pPr>
              <w:pStyle w:val="25"/>
              <w:spacing w:before="139" w:line="220" w:lineRule="auto"/>
              <w:ind w:left="177"/>
            </w:pPr>
            <w:r>
              <w:rPr>
                <w:b/>
                <w:bCs/>
                <w:spacing w:val="-8"/>
              </w:rPr>
              <w:t>审核日期</w:t>
            </w:r>
          </w:p>
        </w:tc>
        <w:tc>
          <w:tcPr>
            <w:tcW w:w="1702" w:type="dxa"/>
            <w:vAlign w:val="top"/>
          </w:tcPr>
          <w:p w14:paraId="1E1F76C8">
            <w:pPr>
              <w:pStyle w:val="25"/>
              <w:spacing w:before="138"/>
              <w:ind w:left="261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</w:tr>
      <w:tr w14:paraId="6ABCBE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329" w:type="dxa"/>
            <w:shd w:val="clear" w:color="auto" w:fill="D9D9D9"/>
            <w:vAlign w:val="top"/>
          </w:tcPr>
          <w:p w14:paraId="55FCB215">
            <w:pPr>
              <w:pStyle w:val="25"/>
              <w:spacing w:before="124" w:line="221" w:lineRule="auto"/>
              <w:ind w:left="427"/>
            </w:pPr>
            <w:r>
              <w:rPr>
                <w:b/>
                <w:bCs/>
                <w:spacing w:val="-7"/>
              </w:rPr>
              <w:t>批准</w:t>
            </w:r>
          </w:p>
        </w:tc>
        <w:tc>
          <w:tcPr>
            <w:tcW w:w="2691" w:type="dxa"/>
            <w:vAlign w:val="top"/>
          </w:tcPr>
          <w:p w14:paraId="570A4C6F">
            <w:pPr>
              <w:pStyle w:val="25"/>
              <w:spacing w:before="125" w:line="221" w:lineRule="auto"/>
              <w:ind w:left="1110"/>
            </w:pPr>
            <w:r>
              <w:rPr>
                <w:spacing w:val="-5"/>
              </w:rPr>
              <w:t>赵洁</w:t>
            </w:r>
          </w:p>
        </w:tc>
        <w:tc>
          <w:tcPr>
            <w:tcW w:w="1282" w:type="dxa"/>
            <w:shd w:val="clear" w:color="auto" w:fill="D8D8D8"/>
            <w:vAlign w:val="top"/>
          </w:tcPr>
          <w:p w14:paraId="5C3395FB">
            <w:pPr>
              <w:pStyle w:val="25"/>
              <w:spacing w:before="125" w:line="220" w:lineRule="auto"/>
              <w:ind w:left="163"/>
            </w:pPr>
            <w:r>
              <w:rPr>
                <w:b/>
                <w:bCs/>
                <w:spacing w:val="-5"/>
              </w:rPr>
              <w:t>批准日期</w:t>
            </w:r>
          </w:p>
        </w:tc>
        <w:tc>
          <w:tcPr>
            <w:tcW w:w="1702" w:type="dxa"/>
            <w:vAlign w:val="top"/>
          </w:tcPr>
          <w:p w14:paraId="40D78956">
            <w:pPr>
              <w:pStyle w:val="25"/>
              <w:spacing w:before="124" w:line="237" w:lineRule="auto"/>
              <w:ind w:left="261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</w:tr>
      <w:tr w14:paraId="6E6106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329" w:type="dxa"/>
            <w:shd w:val="clear" w:color="auto" w:fill="D9D9D9"/>
            <w:vAlign w:val="top"/>
          </w:tcPr>
          <w:p w14:paraId="24D252B7">
            <w:pPr>
              <w:pStyle w:val="25"/>
              <w:spacing w:before="130" w:line="219" w:lineRule="auto"/>
              <w:ind w:left="192"/>
            </w:pPr>
            <w:r>
              <w:rPr>
                <w:b/>
                <w:bCs/>
                <w:spacing w:val="-6"/>
              </w:rPr>
              <w:t>发布范围</w:t>
            </w:r>
          </w:p>
        </w:tc>
        <w:tc>
          <w:tcPr>
            <w:tcW w:w="2691" w:type="dxa"/>
            <w:vAlign w:val="top"/>
          </w:tcPr>
          <w:p w14:paraId="4A72968F">
            <w:pPr>
              <w:pStyle w:val="25"/>
              <w:spacing w:before="131" w:line="219" w:lineRule="auto"/>
              <w:ind w:left="1020"/>
            </w:pPr>
            <w:r>
              <w:rPr>
                <w:spacing w:val="-20"/>
              </w:rPr>
              <w:t>内</w:t>
            </w:r>
            <w:r>
              <w:rPr>
                <w:spacing w:val="6"/>
              </w:rPr>
              <w:t xml:space="preserve">  </w:t>
            </w:r>
            <w:r>
              <w:rPr>
                <w:spacing w:val="-20"/>
              </w:rPr>
              <w:t>部</w:t>
            </w:r>
          </w:p>
        </w:tc>
        <w:tc>
          <w:tcPr>
            <w:tcW w:w="1282" w:type="dxa"/>
            <w:shd w:val="clear" w:color="auto" w:fill="D8D8D8"/>
            <w:vAlign w:val="top"/>
          </w:tcPr>
          <w:p w14:paraId="24CE135F">
            <w:pPr>
              <w:pStyle w:val="25"/>
              <w:spacing w:before="130" w:line="219" w:lineRule="auto"/>
              <w:ind w:left="168"/>
            </w:pPr>
            <w:r>
              <w:rPr>
                <w:b/>
                <w:bCs/>
                <w:spacing w:val="-6"/>
              </w:rPr>
              <w:t>发布日期</w:t>
            </w:r>
          </w:p>
        </w:tc>
        <w:tc>
          <w:tcPr>
            <w:tcW w:w="1702" w:type="dxa"/>
            <w:vAlign w:val="top"/>
          </w:tcPr>
          <w:p w14:paraId="62CDF88A">
            <w:pPr>
              <w:pStyle w:val="25"/>
              <w:spacing w:before="130"/>
              <w:ind w:left="261"/>
              <w:rPr>
                <w:rFonts w:hint="default"/>
                <w:lang w:val="en-US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26</w:t>
            </w:r>
          </w:p>
        </w:tc>
      </w:tr>
    </w:tbl>
    <w:p w14:paraId="78B1E0AB">
      <w:pPr>
        <w:rPr>
          <w:rFonts w:ascii="Arial"/>
          <w:sz w:val="21"/>
        </w:rPr>
      </w:pPr>
    </w:p>
    <w:p w14:paraId="247608E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22" w:right="1785" w:bottom="0" w:left="1785" w:header="597" w:footer="0" w:gutter="0"/>
          <w:cols w:space="720" w:num="1"/>
        </w:sectPr>
      </w:pPr>
    </w:p>
    <w:p w14:paraId="7FEA76F9">
      <w:pPr>
        <w:spacing w:line="396" w:lineRule="auto"/>
        <w:rPr>
          <w:rFonts w:ascii="Arial"/>
          <w:sz w:val="21"/>
        </w:rPr>
      </w:pPr>
    </w:p>
    <w:p w14:paraId="08202E24">
      <w:pPr>
        <w:pStyle w:val="12"/>
        <w:spacing w:before="91" w:line="220" w:lineRule="auto"/>
        <w:ind w:left="3336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文档修订信息</w:t>
      </w:r>
    </w:p>
    <w:p w14:paraId="1B996974">
      <w:pPr>
        <w:spacing w:before="188"/>
      </w:pPr>
    </w:p>
    <w:tbl>
      <w:tblPr>
        <w:tblStyle w:val="24"/>
        <w:tblW w:w="8261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532"/>
        <w:gridCol w:w="1671"/>
        <w:gridCol w:w="1915"/>
        <w:gridCol w:w="1854"/>
      </w:tblGrid>
      <w:tr w14:paraId="10259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1289" w:type="dxa"/>
            <w:shd w:val="clear" w:color="auto" w:fill="E5E5E5"/>
            <w:vAlign w:val="top"/>
          </w:tcPr>
          <w:p w14:paraId="717090D7">
            <w:pPr>
              <w:pStyle w:val="25"/>
              <w:spacing w:before="156" w:line="219" w:lineRule="auto"/>
              <w:ind w:left="288"/>
            </w:pPr>
            <w:r>
              <w:rPr>
                <w:b/>
                <w:bCs/>
                <w:spacing w:val="-6"/>
              </w:rPr>
              <w:t>版本号</w:t>
            </w:r>
          </w:p>
        </w:tc>
        <w:tc>
          <w:tcPr>
            <w:tcW w:w="1532" w:type="dxa"/>
            <w:shd w:val="clear" w:color="auto" w:fill="E5E5E5"/>
            <w:vAlign w:val="top"/>
          </w:tcPr>
          <w:p w14:paraId="6400561A">
            <w:pPr>
              <w:pStyle w:val="25"/>
              <w:spacing w:before="157" w:line="219" w:lineRule="auto"/>
              <w:ind w:left="287"/>
            </w:pPr>
            <w:r>
              <w:rPr>
                <w:b/>
                <w:bCs/>
                <w:spacing w:val="-5"/>
              </w:rPr>
              <w:t>修订日期</w:t>
            </w:r>
          </w:p>
        </w:tc>
        <w:tc>
          <w:tcPr>
            <w:tcW w:w="1671" w:type="dxa"/>
            <w:shd w:val="clear" w:color="auto" w:fill="E5E5E5"/>
            <w:vAlign w:val="top"/>
          </w:tcPr>
          <w:p w14:paraId="56FFF718">
            <w:pPr>
              <w:pStyle w:val="25"/>
              <w:spacing w:before="157" w:line="219" w:lineRule="auto"/>
              <w:ind w:left="478"/>
            </w:pPr>
            <w:r>
              <w:rPr>
                <w:b/>
                <w:bCs/>
                <w:spacing w:val="-5"/>
              </w:rPr>
              <w:t>修订人</w:t>
            </w:r>
          </w:p>
        </w:tc>
        <w:tc>
          <w:tcPr>
            <w:tcW w:w="1915" w:type="dxa"/>
            <w:shd w:val="clear" w:color="auto" w:fill="E5E5E5"/>
            <w:vAlign w:val="top"/>
          </w:tcPr>
          <w:p w14:paraId="4041E0ED">
            <w:pPr>
              <w:pStyle w:val="25"/>
              <w:spacing w:before="157" w:line="219" w:lineRule="auto"/>
              <w:ind w:left="482"/>
            </w:pPr>
            <w:r>
              <w:rPr>
                <w:b/>
                <w:bCs/>
                <w:spacing w:val="-5"/>
              </w:rPr>
              <w:t>修订说明</w:t>
            </w:r>
          </w:p>
        </w:tc>
        <w:tc>
          <w:tcPr>
            <w:tcW w:w="1854" w:type="dxa"/>
            <w:shd w:val="clear" w:color="auto" w:fill="E5E5E5"/>
            <w:vAlign w:val="top"/>
          </w:tcPr>
          <w:p w14:paraId="35142B5F">
            <w:pPr>
              <w:pStyle w:val="25"/>
              <w:spacing w:before="156" w:line="221" w:lineRule="auto"/>
              <w:ind w:left="694"/>
            </w:pPr>
            <w:r>
              <w:rPr>
                <w:b/>
                <w:bCs/>
                <w:spacing w:val="-9"/>
              </w:rPr>
              <w:t>备注</w:t>
            </w:r>
          </w:p>
        </w:tc>
      </w:tr>
      <w:tr w14:paraId="3A79F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289" w:type="dxa"/>
            <w:vAlign w:val="top"/>
          </w:tcPr>
          <w:p w14:paraId="48436755">
            <w:pPr>
              <w:pStyle w:val="25"/>
              <w:spacing w:before="147" w:line="239" w:lineRule="auto"/>
              <w:ind w:left="416"/>
            </w:pPr>
            <w:r>
              <w:rPr>
                <w:spacing w:val="-1"/>
              </w:rPr>
              <w:t>V1.0</w:t>
            </w:r>
          </w:p>
        </w:tc>
        <w:tc>
          <w:tcPr>
            <w:tcW w:w="1532" w:type="dxa"/>
            <w:vAlign w:val="top"/>
          </w:tcPr>
          <w:p w14:paraId="689977A6">
            <w:pPr>
              <w:pStyle w:val="25"/>
              <w:spacing w:before="147"/>
              <w:ind w:left="184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</w:p>
        </w:tc>
        <w:tc>
          <w:tcPr>
            <w:tcW w:w="1671" w:type="dxa"/>
            <w:vAlign w:val="top"/>
          </w:tcPr>
          <w:p w14:paraId="619358FD">
            <w:pPr>
              <w:pStyle w:val="25"/>
              <w:spacing w:before="148" w:line="220" w:lineRule="auto"/>
              <w:ind w:left="494"/>
            </w:pPr>
            <w:r>
              <w:rPr>
                <w:spacing w:val="-4"/>
              </w:rPr>
              <w:t>王宇昊</w:t>
            </w:r>
          </w:p>
        </w:tc>
        <w:tc>
          <w:tcPr>
            <w:tcW w:w="1915" w:type="dxa"/>
            <w:vAlign w:val="top"/>
          </w:tcPr>
          <w:p w14:paraId="0D312532">
            <w:pPr>
              <w:pStyle w:val="25"/>
              <w:spacing w:before="148" w:line="220" w:lineRule="auto"/>
              <w:ind w:left="737"/>
            </w:pPr>
            <w:r>
              <w:rPr>
                <w:spacing w:val="-6"/>
              </w:rPr>
              <w:t>新建</w:t>
            </w:r>
          </w:p>
        </w:tc>
        <w:tc>
          <w:tcPr>
            <w:tcW w:w="1854" w:type="dxa"/>
            <w:vAlign w:val="top"/>
          </w:tcPr>
          <w:p w14:paraId="0BC09DF2">
            <w:pPr>
              <w:rPr>
                <w:rFonts w:ascii="Arial"/>
                <w:sz w:val="21"/>
              </w:rPr>
            </w:pPr>
          </w:p>
        </w:tc>
      </w:tr>
      <w:tr w14:paraId="20DEA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289" w:type="dxa"/>
            <w:vAlign w:val="top"/>
          </w:tcPr>
          <w:p w14:paraId="459FB4C1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3BD3F997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4B3F0A20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61AA5083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15B19779">
            <w:pPr>
              <w:rPr>
                <w:rFonts w:ascii="Arial"/>
                <w:sz w:val="21"/>
              </w:rPr>
            </w:pPr>
          </w:p>
        </w:tc>
      </w:tr>
      <w:tr w14:paraId="77346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289" w:type="dxa"/>
            <w:vAlign w:val="top"/>
          </w:tcPr>
          <w:p w14:paraId="09A307C4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29A82965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129EA3A6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72048F19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7FA58D1D">
            <w:pPr>
              <w:rPr>
                <w:rFonts w:ascii="Arial"/>
                <w:sz w:val="21"/>
              </w:rPr>
            </w:pPr>
          </w:p>
        </w:tc>
      </w:tr>
      <w:tr w14:paraId="300F0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289" w:type="dxa"/>
            <w:vAlign w:val="top"/>
          </w:tcPr>
          <w:p w14:paraId="2681E117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1A2755C4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48015DD1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1AD72E9A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01750EEF">
            <w:pPr>
              <w:rPr>
                <w:rFonts w:ascii="Arial"/>
                <w:sz w:val="21"/>
              </w:rPr>
            </w:pPr>
          </w:p>
        </w:tc>
      </w:tr>
      <w:tr w14:paraId="4F347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289" w:type="dxa"/>
            <w:vAlign w:val="top"/>
          </w:tcPr>
          <w:p w14:paraId="466FB6E8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Align w:val="top"/>
          </w:tcPr>
          <w:p w14:paraId="0DB33D92">
            <w:pPr>
              <w:rPr>
                <w:rFonts w:ascii="Arial"/>
                <w:sz w:val="21"/>
              </w:rPr>
            </w:pPr>
          </w:p>
        </w:tc>
        <w:tc>
          <w:tcPr>
            <w:tcW w:w="1671" w:type="dxa"/>
            <w:vAlign w:val="top"/>
          </w:tcPr>
          <w:p w14:paraId="6F09F9C2">
            <w:pPr>
              <w:rPr>
                <w:rFonts w:ascii="Arial"/>
                <w:sz w:val="21"/>
              </w:rPr>
            </w:pPr>
          </w:p>
        </w:tc>
        <w:tc>
          <w:tcPr>
            <w:tcW w:w="1915" w:type="dxa"/>
            <w:vAlign w:val="top"/>
          </w:tcPr>
          <w:p w14:paraId="3E166984">
            <w:pPr>
              <w:rPr>
                <w:rFonts w:ascii="Arial"/>
                <w:sz w:val="21"/>
              </w:rPr>
            </w:pPr>
          </w:p>
        </w:tc>
        <w:tc>
          <w:tcPr>
            <w:tcW w:w="1854" w:type="dxa"/>
            <w:vAlign w:val="top"/>
          </w:tcPr>
          <w:p w14:paraId="347E4B83">
            <w:pPr>
              <w:rPr>
                <w:rFonts w:ascii="Arial"/>
                <w:sz w:val="21"/>
              </w:rPr>
            </w:pPr>
          </w:p>
        </w:tc>
      </w:tr>
    </w:tbl>
    <w:p w14:paraId="5299CB54">
      <w:pPr>
        <w:rPr>
          <w:rFonts w:ascii="Arial"/>
          <w:sz w:val="21"/>
        </w:rPr>
      </w:pPr>
    </w:p>
    <w:p w14:paraId="56D5D8B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22" w:right="1785" w:bottom="0" w:left="1785" w:header="597" w:footer="0" w:gutter="0"/>
          <w:cols w:space="720" w:num="1"/>
        </w:sectPr>
      </w:pPr>
    </w:p>
    <w:p w14:paraId="5B7F2C3C">
      <w:pPr>
        <w:spacing w:line="368" w:lineRule="auto"/>
        <w:rPr>
          <w:rFonts w:ascii="Arial"/>
          <w:sz w:val="21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183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3B9625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550521">
          <w:pPr>
            <w:pStyle w:val="16"/>
            <w:tabs>
              <w:tab w:val="right" w:leader="dot" w:pos="8336"/>
            </w:tabs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TOC \o "1-3" \h \u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_Toc6673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备品备件管理体系概述</w:t>
          </w:r>
          <w:r>
            <w:tab/>
          </w:r>
          <w:r>
            <w:fldChar w:fldCharType="begin"/>
          </w:r>
          <w:r>
            <w:instrText xml:space="preserve"> PAGEREF _Toc6673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625243DC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_Toc21922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_Toc21922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3E55D6DE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_Toc32007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关键绩效指标（KPI）达成情况与应用成效</w:t>
          </w:r>
          <w:r>
            <w:tab/>
          </w:r>
          <w:r>
            <w:fldChar w:fldCharType="begin"/>
          </w:r>
          <w:r>
            <w:instrText xml:space="preserve"> PAGEREF _Toc32007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2EEECD39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_Toc14653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应用成效总结</w:t>
          </w:r>
          <w:r>
            <w:tab/>
          </w:r>
          <w:r>
            <w:fldChar w:fldCharType="begin"/>
          </w:r>
          <w:r>
            <w:instrText xml:space="preserve"> PAGEREF _Toc14653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7D7072D">
          <w:pPr>
            <w:pStyle w:val="16"/>
            <w:tabs>
              <w:tab w:val="right" w:leader="dot" w:pos="8336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_Toc27479 </w:instrText>
          </w:r>
          <w:r>
            <w:rPr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_Toc27479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CE3F7A6">
          <w:pPr>
            <w:spacing w:line="219" w:lineRule="auto"/>
            <w:rPr>
              <w:rFonts w:ascii="Arial" w:hAnsi="Arial" w:eastAsia="宋体" w:cs="Arial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szCs w:val="24"/>
            </w:rPr>
            <w:fldChar w:fldCharType="end"/>
          </w:r>
        </w:p>
      </w:sdtContent>
    </w:sdt>
    <w:p w14:paraId="46E88807">
      <w:pPr>
        <w:spacing w:line="219" w:lineRule="auto"/>
        <w:rPr>
          <w:rFonts w:ascii="Arial" w:hAnsi="Arial" w:eastAsia="宋体" w:cs="Arial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122" w:right="1785" w:bottom="0" w:left="1785" w:header="597" w:footer="0" w:gutter="0"/>
          <w:cols w:space="720" w:num="1"/>
        </w:sectPr>
      </w:pPr>
    </w:p>
    <w:p w14:paraId="14964DA1">
      <w:pPr>
        <w:pStyle w:val="28"/>
        <w:bidi w:val="0"/>
        <w:rPr>
          <w:rFonts w:hint="eastAsia"/>
        </w:rPr>
      </w:pPr>
      <w:bookmarkStart w:id="0" w:name="_Toc6673"/>
      <w:r>
        <w:rPr>
          <w:rFonts w:hint="eastAsia"/>
        </w:rPr>
        <w:t>备品备件管理体系概述</w:t>
      </w:r>
      <w:bookmarkEnd w:id="0"/>
    </w:p>
    <w:p w14:paraId="6E7A0888">
      <w:pPr>
        <w:pStyle w:val="29"/>
        <w:bidi w:val="0"/>
        <w:rPr>
          <w:rFonts w:hint="eastAsia"/>
        </w:rPr>
      </w:pPr>
      <w:r>
        <w:rPr>
          <w:rFonts w:hint="eastAsia"/>
        </w:rPr>
        <w:t>公司备品备件管理遵循“统一管理、集中调配”的原则，由商务部负总责，协同技术部（运维工程师）共同实施。管理体系全面覆盖了从供应商选择、采购、入库、存储、检测、出库到报废的全生命周期，旨在确保备件质量可靠、供应及时、管理规范，为达成服务级别协议（SLA）提供坚实的物质保障。</w:t>
      </w:r>
    </w:p>
    <w:p w14:paraId="18B99E1B">
      <w:pPr>
        <w:pStyle w:val="28"/>
        <w:bidi w:val="0"/>
        <w:rPr>
          <w:rFonts w:hint="eastAsia"/>
        </w:rPr>
      </w:pPr>
      <w:bookmarkStart w:id="1" w:name="_Toc21922"/>
      <w:r>
        <w:rPr>
          <w:rFonts w:hint="eastAsia"/>
        </w:rPr>
        <w:t>核心管理机制的应用与执行情况</w:t>
      </w:r>
      <w:bookmarkEnd w:id="1"/>
    </w:p>
    <w:p w14:paraId="41A6A203">
      <w:pPr>
        <w:pStyle w:val="29"/>
        <w:bidi w:val="0"/>
        <w:rPr>
          <w:rFonts w:hint="eastAsia"/>
        </w:rPr>
      </w:pPr>
      <w:r>
        <w:rPr>
          <w:rFonts w:hint="eastAsia"/>
        </w:rPr>
        <w:t>明确的组织架构与职责分工</w:t>
      </w:r>
    </w:p>
    <w:p w14:paraId="5B17D092">
      <w:pPr>
        <w:pStyle w:val="29"/>
        <w:bidi w:val="0"/>
        <w:rPr>
          <w:rFonts w:hint="eastAsia"/>
        </w:rPr>
      </w:pPr>
      <w:r>
        <w:rPr>
          <w:rFonts w:hint="eastAsia"/>
        </w:rPr>
        <w:t>商务部：作为责任主体，负责制定采购计划、执行采购、供应商管理、库存账务管理及库存盘点。</w:t>
      </w:r>
    </w:p>
    <w:p w14:paraId="111194B6">
      <w:pPr>
        <w:pStyle w:val="29"/>
        <w:bidi w:val="0"/>
        <w:rPr>
          <w:rFonts w:hint="eastAsia"/>
        </w:rPr>
      </w:pPr>
      <w:r>
        <w:rPr>
          <w:rFonts w:hint="eastAsia"/>
        </w:rPr>
        <w:t>技术部（运维工程师）：负责提出采购需求，并协助商务部对库存备件进行可用性检测。</w:t>
      </w:r>
    </w:p>
    <w:p w14:paraId="657AD916">
      <w:pPr>
        <w:pStyle w:val="29"/>
        <w:bidi w:val="0"/>
        <w:rPr>
          <w:rFonts w:hint="eastAsia"/>
        </w:rPr>
      </w:pPr>
      <w:r>
        <w:rPr>
          <w:rFonts w:hint="eastAsia"/>
        </w:rPr>
        <w:t>此分工确保了业务需求与资源保障的无缝衔接，责任清晰，协作高效。</w:t>
      </w:r>
    </w:p>
    <w:p w14:paraId="17D7C9C5">
      <w:pPr>
        <w:pStyle w:val="29"/>
        <w:bidi w:val="0"/>
        <w:rPr>
          <w:rFonts w:hint="eastAsia"/>
        </w:rPr>
      </w:pPr>
      <w:r>
        <w:rPr>
          <w:rFonts w:hint="eastAsia"/>
        </w:rPr>
        <w:t>规范的供应商管理与采购流程</w:t>
      </w:r>
    </w:p>
    <w:p w14:paraId="78E8FCC7">
      <w:pPr>
        <w:pStyle w:val="29"/>
        <w:bidi w:val="0"/>
        <w:rPr>
          <w:rFonts w:hint="eastAsia"/>
        </w:rPr>
      </w:pPr>
      <w:r>
        <w:rPr>
          <w:rFonts w:hint="eastAsia"/>
        </w:rPr>
        <w:t>严格依据《供应商管理制度》，通过初始调查、资质评审、样品测试、小批量试用等环节筛选合格供应商，并建立 《合格供方名录》。</w:t>
      </w:r>
    </w:p>
    <w:p w14:paraId="3E69E8CF">
      <w:pPr>
        <w:pStyle w:val="29"/>
        <w:bidi w:val="0"/>
        <w:rPr>
          <w:rFonts w:hint="eastAsia"/>
        </w:rPr>
      </w:pPr>
      <w:r>
        <w:rPr>
          <w:rFonts w:hint="eastAsia"/>
        </w:rPr>
        <w:t>对合格供应商进行年度评审和定期考核，根据交货及时率、产品质量、价格与服务进行综合排名，实行优胜劣汰，确保了供应渠道的可靠性与竞争力。</w:t>
      </w:r>
    </w:p>
    <w:p w14:paraId="79AA83C7">
      <w:pPr>
        <w:pStyle w:val="29"/>
        <w:bidi w:val="0"/>
        <w:rPr>
          <w:rFonts w:hint="eastAsia"/>
        </w:rPr>
      </w:pPr>
      <w:r>
        <w:rPr>
          <w:rFonts w:hint="eastAsia"/>
        </w:rPr>
        <w:t>精细化的库存与出入库管理</w:t>
      </w:r>
    </w:p>
    <w:p w14:paraId="2ECA5783">
      <w:pPr>
        <w:pStyle w:val="29"/>
        <w:bidi w:val="0"/>
        <w:rPr>
          <w:rFonts w:hint="eastAsia"/>
        </w:rPr>
      </w:pPr>
      <w:r>
        <w:rPr>
          <w:rFonts w:hint="eastAsia"/>
        </w:rPr>
        <w:t>编码与定位：对备件进行统一编码，分类存放，标识清晰，便于快速查找与取用。</w:t>
      </w:r>
    </w:p>
    <w:p w14:paraId="1D81E08F">
      <w:pPr>
        <w:pStyle w:val="29"/>
        <w:bidi w:val="0"/>
        <w:rPr>
          <w:rFonts w:hint="eastAsia"/>
        </w:rPr>
      </w:pPr>
      <w:r>
        <w:rPr>
          <w:rFonts w:hint="eastAsia"/>
        </w:rPr>
        <w:t>出入库流程：所有备件出入库均需凭审批单执行，库管员负责核对型号、规格、数量，并登记详细信息，确保账实相符。</w:t>
      </w:r>
    </w:p>
    <w:p w14:paraId="123D4958">
      <w:pPr>
        <w:pStyle w:val="29"/>
        <w:bidi w:val="0"/>
        <w:rPr>
          <w:rFonts w:hint="eastAsia"/>
        </w:rPr>
      </w:pPr>
      <w:r>
        <w:rPr>
          <w:rFonts w:hint="eastAsia"/>
        </w:rPr>
        <w:t>环境与安全：库房严格遵循防火、防潮、防静电等管理要求，确保备件存储环境安全。</w:t>
      </w:r>
    </w:p>
    <w:p w14:paraId="5F44B226">
      <w:pPr>
        <w:pStyle w:val="29"/>
        <w:bidi w:val="0"/>
        <w:rPr>
          <w:rFonts w:hint="eastAsia"/>
        </w:rPr>
      </w:pPr>
      <w:r>
        <w:rPr>
          <w:rFonts w:hint="eastAsia"/>
        </w:rPr>
        <w:t>科学的可用性检测与故障件闭环处理</w:t>
      </w:r>
    </w:p>
    <w:p w14:paraId="001EF571">
      <w:pPr>
        <w:pStyle w:val="29"/>
        <w:bidi w:val="0"/>
        <w:rPr>
          <w:rFonts w:hint="eastAsia"/>
        </w:rPr>
      </w:pPr>
      <w:r>
        <w:rPr>
          <w:rFonts w:hint="eastAsia"/>
        </w:rPr>
        <w:t>定期检测：制度要求每月对库存备件按30% 的比例进行抽检，由运维工程师协助完成，确保备件性能符合要求。</w:t>
      </w:r>
    </w:p>
    <w:p w14:paraId="0F2B69E2">
      <w:pPr>
        <w:pStyle w:val="29"/>
        <w:bidi w:val="0"/>
        <w:rPr>
          <w:rFonts w:hint="eastAsia"/>
        </w:rPr>
      </w:pPr>
      <w:r>
        <w:rPr>
          <w:rFonts w:hint="eastAsia"/>
        </w:rPr>
        <w:t>闭环管理：对更换回的故障件，执行严格的入库登记，并进入维修或报废流程，形成管理闭环，杜绝了无效库存的积压。</w:t>
      </w:r>
    </w:p>
    <w:p w14:paraId="1279B42B">
      <w:pPr>
        <w:pStyle w:val="28"/>
        <w:bidi w:val="0"/>
        <w:rPr>
          <w:rFonts w:hint="eastAsia"/>
        </w:rPr>
      </w:pPr>
      <w:bookmarkStart w:id="2" w:name="_Toc32007"/>
      <w:r>
        <w:rPr>
          <w:rFonts w:hint="eastAsia"/>
        </w:rPr>
        <w:t>关键绩效指标（KPI）达成情况与应用成效</w:t>
      </w:r>
      <w:bookmarkEnd w:id="2"/>
    </w:p>
    <w:p w14:paraId="0A0E91B9">
      <w:pPr>
        <w:pStyle w:val="29"/>
        <w:bidi w:val="0"/>
        <w:rPr>
          <w:rFonts w:hint="eastAsia"/>
        </w:rPr>
      </w:pPr>
      <w:r>
        <w:rPr>
          <w:rFonts w:hint="eastAsia"/>
        </w:rPr>
        <w:t xml:space="preserve">根据 </w:t>
      </w:r>
      <w:r>
        <w:rPr>
          <w:rFonts w:hint="eastAsia"/>
          <w:lang w:val="en-US" w:eastAsia="zh-CN"/>
        </w:rPr>
        <w:t>汇总分析，</w:t>
      </w:r>
      <w:r>
        <w:rPr>
          <w:rFonts w:hint="eastAsia"/>
        </w:rPr>
        <w:t>公司备品备件管理体系运行卓越，核心指标持续达标：</w:t>
      </w:r>
    </w:p>
    <w:p w14:paraId="329E78E8">
      <w:pPr>
        <w:pStyle w:val="29"/>
        <w:bidi w:val="0"/>
        <w:rPr>
          <w:rFonts w:hint="eastAsia"/>
        </w:rPr>
      </w:pPr>
      <w:r>
        <w:rPr>
          <w:rFonts w:hint="eastAsia"/>
        </w:rPr>
        <w:t>备品备件可用率稳定优异：该指标是衡量库存备件质量与状态的核心。在2025年已度过的三个季度中，备品备件可用率分别达到95%（Q1）、98%（Q2）、96%（Q3），全年持续优于 ≥95%的目标值。这直接证明了公司的定期检测与供应商管理制度有效，确保了库存备件“随时可用”。</w:t>
      </w:r>
    </w:p>
    <w:p w14:paraId="2011C3DF">
      <w:pPr>
        <w:pStyle w:val="29"/>
        <w:bidi w:val="0"/>
        <w:rPr>
          <w:rFonts w:hint="eastAsia"/>
        </w:rPr>
      </w:pPr>
      <w:r>
        <w:rPr>
          <w:rFonts w:hint="eastAsia"/>
        </w:rPr>
        <w:t>高效支撑SLA与服务满意度：高水平的备件可用率，为快速解决硬件故障提供了关键保障，有力支撑了 “SLA达成率”连续10个月保持100% 及 “事件解决用户满意度”连续10个月达到100% 的卓越成绩。备件库已成为保障公司运维服务质量和客户满意度的关键基石。</w:t>
      </w:r>
    </w:p>
    <w:p w14:paraId="2E1E1E32">
      <w:pPr>
        <w:pStyle w:val="28"/>
        <w:bidi w:val="0"/>
        <w:rPr>
          <w:rFonts w:hint="eastAsia"/>
        </w:rPr>
      </w:pPr>
      <w:bookmarkStart w:id="3" w:name="_Toc14653"/>
      <w:r>
        <w:rPr>
          <w:rFonts w:hint="eastAsia"/>
        </w:rPr>
        <w:t>应用成效总结</w:t>
      </w:r>
      <w:bookmarkEnd w:id="3"/>
    </w:p>
    <w:p w14:paraId="033791A7">
      <w:pPr>
        <w:pStyle w:val="29"/>
        <w:bidi w:val="0"/>
        <w:rPr>
          <w:rFonts w:hint="eastAsia"/>
        </w:rPr>
      </w:pPr>
      <w:r>
        <w:rPr>
          <w:rFonts w:hint="eastAsia"/>
        </w:rPr>
        <w:t>公司备品备件管理体系通过制度化的流程、规范化的操作和数据化的考核，取得了显著成效：</w:t>
      </w:r>
    </w:p>
    <w:p w14:paraId="7CF64334">
      <w:pPr>
        <w:pStyle w:val="29"/>
        <w:bidi w:val="0"/>
        <w:rPr>
          <w:rFonts w:hint="eastAsia"/>
        </w:rPr>
      </w:pPr>
      <w:r>
        <w:rPr>
          <w:rFonts w:hint="eastAsia"/>
        </w:rPr>
        <w:t>资源保障有力：通过严格的供应商管理和采购流程，确保了备件来源的可靠性与经济性。</w:t>
      </w:r>
    </w:p>
    <w:p w14:paraId="14D58978">
      <w:pPr>
        <w:pStyle w:val="29"/>
        <w:bidi w:val="0"/>
        <w:rPr>
          <w:rFonts w:hint="eastAsia"/>
        </w:rPr>
      </w:pPr>
      <w:r>
        <w:rPr>
          <w:rFonts w:hint="eastAsia"/>
        </w:rPr>
        <w:t>库存质量可控：通过月度抽检和闭环管理，实现了对库存备件有效性的精准控制，可用率季度指标均超额完成。</w:t>
      </w:r>
    </w:p>
    <w:p w14:paraId="32CF51AC">
      <w:pPr>
        <w:pStyle w:val="29"/>
        <w:bidi w:val="0"/>
        <w:rPr>
          <w:rFonts w:hint="eastAsia"/>
        </w:rPr>
      </w:pPr>
      <w:r>
        <w:rPr>
          <w:rFonts w:hint="eastAsia"/>
        </w:rPr>
        <w:t>服务支撑高效：精细化的库存管理与SLA驱动的出库机制，确保了在故障发生时能快速响应，直接贡献于高水平的SLA达成率和客户满意度。</w:t>
      </w:r>
    </w:p>
    <w:p w14:paraId="25F19928">
      <w:pPr>
        <w:pStyle w:val="28"/>
        <w:bidi w:val="0"/>
        <w:rPr>
          <w:rFonts w:hint="eastAsia"/>
        </w:rPr>
      </w:pPr>
      <w:bookmarkStart w:id="4" w:name="_Toc27479"/>
      <w:r>
        <w:rPr>
          <w:rFonts w:hint="eastAsia"/>
        </w:rPr>
        <w:t>结论</w:t>
      </w:r>
      <w:bookmarkEnd w:id="4"/>
    </w:p>
    <w:p w14:paraId="450B7899">
      <w:pPr>
        <w:pStyle w:val="29"/>
        <w:bidi w:val="0"/>
      </w:pPr>
      <w:r>
        <w:rPr>
          <w:rFonts w:hint="eastAsia"/>
        </w:rPr>
        <w:t>综上所述，公司的备品备件库已建立并有效运行着一套 “制度完善、流程清晰、责任明确、考核量化”</w:t>
      </w:r>
      <w:bookmarkStart w:id="5" w:name="_GoBack"/>
      <w:bookmarkEnd w:id="5"/>
      <w:r>
        <w:rPr>
          <w:rFonts w:hint="eastAsia"/>
        </w:rPr>
        <w:t>的成熟管理体系。该体系不仅完全符合相关管理制度的要求，更通过2025年度的KPI数据（特别是备品备件可用率稳定在95%以上）证明了其卓越的运行效能，为公司运维服务的稳定性、可靠性和高客户满意度提供了不可或缺的硬件支持。</w:t>
      </w:r>
    </w:p>
    <w:sectPr>
      <w:headerReference r:id="rId5" w:type="default"/>
      <w:footerReference r:id="rId6" w:type="default"/>
      <w:pgSz w:w="11906" w:h="16839"/>
      <w:pgMar w:top="1122" w:right="1581" w:bottom="1306" w:left="1580" w:header="597" w:footer="113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B581E">
    <w:pPr>
      <w:spacing w:line="182" w:lineRule="auto"/>
      <w:ind w:left="4332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365F7">
    <w:pPr>
      <w:pStyle w:val="15"/>
      <w:jc w:val="right"/>
    </w:pPr>
    <w:r>
      <w:rPr>
        <w:rFonts w:ascii="宋体" w:hAnsi="宋体" w:eastAsia="宋体" w:cs="宋体"/>
        <w:sz w:val="20"/>
        <w:szCs w:val="20"/>
      </w:rPr>
      <w:t>SciWell</w:t>
    </w:r>
    <w:r>
      <w:rPr>
        <w:rFonts w:ascii="宋体" w:hAnsi="宋体" w:eastAsia="宋体" w:cs="宋体"/>
        <w:spacing w:val="10"/>
        <w:sz w:val="20"/>
        <w:szCs w:val="20"/>
      </w:rPr>
      <w:t>-</w:t>
    </w:r>
    <w:r>
      <w:rPr>
        <w:rFonts w:ascii="宋体" w:hAnsi="宋体" w:eastAsia="宋体" w:cs="宋体"/>
        <w:sz w:val="20"/>
        <w:szCs w:val="20"/>
      </w:rPr>
      <w:t>ITSS</w:t>
    </w:r>
    <w:r>
      <w:rPr>
        <w:rFonts w:ascii="宋体" w:hAnsi="宋体" w:eastAsia="宋体" w:cs="宋体"/>
        <w:spacing w:val="10"/>
        <w:sz w:val="20"/>
        <w:szCs w:val="20"/>
      </w:rPr>
      <w:t>-</w:t>
    </w:r>
    <w:r>
      <w:rPr>
        <w:rFonts w:ascii="宋体" w:hAnsi="宋体" w:eastAsia="宋体" w:cs="宋体"/>
        <w:sz w:val="20"/>
        <w:szCs w:val="20"/>
      </w:rPr>
      <w:t>YW</w:t>
    </w:r>
    <w:r>
      <w:rPr>
        <w:rFonts w:ascii="宋体" w:hAnsi="宋体" w:eastAsia="宋体" w:cs="宋体"/>
        <w:spacing w:val="10"/>
        <w:sz w:val="20"/>
        <w:szCs w:val="20"/>
      </w:rPr>
      <w:t>-1</w:t>
    </w:r>
    <w:r>
      <w:rPr>
        <w:rFonts w:hint="eastAsia" w:ascii="宋体" w:hAnsi="宋体" w:cs="宋体"/>
        <w:spacing w:val="10"/>
        <w:sz w:val="20"/>
        <w:szCs w:val="20"/>
        <w:lang w:val="en-US" w:eastAsia="zh-CN"/>
      </w:rPr>
      <w:t>2</w:t>
    </w:r>
    <w:r>
      <w:rPr>
        <w:rFonts w:ascii="宋体" w:hAnsi="宋体" w:eastAsia="宋体" w:cs="宋体"/>
        <w:spacing w:val="10"/>
        <w:sz w:val="20"/>
        <w:szCs w:val="20"/>
      </w:rPr>
      <w:t>-0</w:t>
    </w:r>
    <w:r>
      <w:rPr>
        <w:rFonts w:hint="eastAsia" w:ascii="宋体" w:hAnsi="宋体" w:cs="宋体"/>
        <w:spacing w:val="10"/>
        <w:sz w:val="20"/>
        <w:szCs w:val="20"/>
        <w:lang w:val="en-US" w:eastAsia="zh-CN"/>
      </w:rPr>
      <w:t>3备件库</w:t>
    </w:r>
    <w:r>
      <w:rPr>
        <w:rFonts w:hint="eastAsia" w:ascii="宋体" w:hAnsi="宋体" w:eastAsia="宋体" w:cs="宋体"/>
        <w:spacing w:val="10"/>
        <w:sz w:val="20"/>
        <w:szCs w:val="20"/>
        <w:lang w:val="en-US" w:eastAsia="zh-CN"/>
      </w:rPr>
      <w:t>应用情况说明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0B6A0C"/>
    <w:rsid w:val="04B901BB"/>
    <w:rsid w:val="0CC50E80"/>
    <w:rsid w:val="0D7F5FE1"/>
    <w:rsid w:val="10525806"/>
    <w:rsid w:val="122344D0"/>
    <w:rsid w:val="16301A66"/>
    <w:rsid w:val="17AA23CB"/>
    <w:rsid w:val="1CED6FE2"/>
    <w:rsid w:val="1DB46FBD"/>
    <w:rsid w:val="2965371A"/>
    <w:rsid w:val="2A492648"/>
    <w:rsid w:val="2B911481"/>
    <w:rsid w:val="2ED718A0"/>
    <w:rsid w:val="325D030E"/>
    <w:rsid w:val="387C7014"/>
    <w:rsid w:val="39101C78"/>
    <w:rsid w:val="39A432FD"/>
    <w:rsid w:val="3C575DCE"/>
    <w:rsid w:val="3DAD2246"/>
    <w:rsid w:val="3DC94AAA"/>
    <w:rsid w:val="3F62300E"/>
    <w:rsid w:val="3F6E5909"/>
    <w:rsid w:val="43BF4817"/>
    <w:rsid w:val="47F02CCF"/>
    <w:rsid w:val="4B5F07FC"/>
    <w:rsid w:val="4C7C718B"/>
    <w:rsid w:val="57B36157"/>
    <w:rsid w:val="59AA17DC"/>
    <w:rsid w:val="5AC4067B"/>
    <w:rsid w:val="5FFC2424"/>
    <w:rsid w:val="62033E14"/>
    <w:rsid w:val="62D277D9"/>
    <w:rsid w:val="648F1CFA"/>
    <w:rsid w:val="64AB0E2F"/>
    <w:rsid w:val="6D4A4179"/>
    <w:rsid w:val="6DBE0F5A"/>
    <w:rsid w:val="6E8977BA"/>
    <w:rsid w:val="6F8C57B4"/>
    <w:rsid w:val="71ED1E0E"/>
    <w:rsid w:val="7238577F"/>
    <w:rsid w:val="727F33AE"/>
    <w:rsid w:val="74885745"/>
    <w:rsid w:val="75EB4AB6"/>
    <w:rsid w:val="79404F19"/>
    <w:rsid w:val="7EA128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1463</Words>
  <Characters>1583</Characters>
  <TotalTime>8</TotalTime>
  <ScaleCrop>false</ScaleCrop>
  <LinksUpToDate>false</LinksUpToDate>
  <CharactersWithSpaces>1615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2022-12-14T14:45:00Z</dcterms:created>
  <dc:creator>CN=刘媛媛/O=CNCIS</dc:creator>
  <cp:lastModifiedBy>郝宇</cp:lastModifiedBy>
  <dcterms:modified xsi:type="dcterms:W3CDTF">2025-11-04T16:32:56Z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2025-10-31T06:30:08Z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12F340D4E8FC4953BABC2495C2C8C5CE_12</vt:lpwstr>
  </property>
</Properties>
</file>