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E9AEB">
      <w:pPr>
        <w:spacing w:line="251" w:lineRule="auto"/>
        <w:rPr>
          <w:rFonts w:ascii="Arial"/>
          <w:sz w:val="21"/>
        </w:rPr>
      </w:pPr>
    </w:p>
    <w:p w14:paraId="3B2EDB8F">
      <w:pPr>
        <w:spacing w:line="251" w:lineRule="auto"/>
        <w:rPr>
          <w:rFonts w:ascii="Arial"/>
          <w:sz w:val="21"/>
        </w:rPr>
      </w:pPr>
    </w:p>
    <w:p w14:paraId="384D8FD6">
      <w:pPr>
        <w:spacing w:line="251" w:lineRule="auto"/>
        <w:rPr>
          <w:rFonts w:ascii="Arial"/>
          <w:sz w:val="21"/>
        </w:rPr>
      </w:pPr>
    </w:p>
    <w:p w14:paraId="377BF211">
      <w:pPr>
        <w:spacing w:line="252" w:lineRule="auto"/>
        <w:rPr>
          <w:rFonts w:ascii="Arial"/>
          <w:sz w:val="21"/>
        </w:rPr>
      </w:pPr>
    </w:p>
    <w:p w14:paraId="19CA4046">
      <w:pPr>
        <w:spacing w:line="252" w:lineRule="auto"/>
        <w:rPr>
          <w:rFonts w:ascii="Arial"/>
          <w:sz w:val="21"/>
        </w:rPr>
      </w:pPr>
    </w:p>
    <w:p w14:paraId="43B64F55">
      <w:pPr>
        <w:spacing w:line="252" w:lineRule="auto"/>
        <w:rPr>
          <w:rFonts w:ascii="Arial"/>
          <w:sz w:val="21"/>
        </w:rPr>
      </w:pPr>
    </w:p>
    <w:p w14:paraId="104C82BE">
      <w:pPr>
        <w:spacing w:line="252" w:lineRule="auto"/>
        <w:rPr>
          <w:rFonts w:ascii="Arial"/>
          <w:sz w:val="21"/>
        </w:rPr>
      </w:pPr>
    </w:p>
    <w:p w14:paraId="1C8645CA">
      <w:pPr>
        <w:spacing w:line="870" w:lineRule="exact"/>
        <w:ind w:firstLine="94"/>
      </w:pPr>
      <w:r>
        <w:rPr>
          <w:position w:val="-17"/>
        </w:rPr>
        <w:drawing>
          <wp:inline distT="0" distB="0" distL="0" distR="0">
            <wp:extent cx="5166360" cy="5524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414" cy="55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0FB">
      <w:pPr>
        <w:spacing w:line="273" w:lineRule="auto"/>
        <w:rPr>
          <w:rFonts w:ascii="Arial"/>
          <w:sz w:val="21"/>
        </w:rPr>
      </w:pPr>
    </w:p>
    <w:p w14:paraId="3EF153E1">
      <w:pPr>
        <w:spacing w:line="273" w:lineRule="auto"/>
        <w:rPr>
          <w:rFonts w:ascii="Arial"/>
          <w:sz w:val="21"/>
        </w:rPr>
      </w:pPr>
    </w:p>
    <w:p w14:paraId="001BC13D">
      <w:pPr>
        <w:spacing w:line="273" w:lineRule="auto"/>
        <w:rPr>
          <w:rFonts w:ascii="Arial"/>
          <w:sz w:val="21"/>
        </w:rPr>
      </w:pPr>
    </w:p>
    <w:p w14:paraId="241BC219">
      <w:pPr>
        <w:spacing w:line="273" w:lineRule="auto"/>
        <w:rPr>
          <w:rFonts w:ascii="Arial"/>
          <w:sz w:val="21"/>
        </w:rPr>
      </w:pPr>
    </w:p>
    <w:p w14:paraId="6C9484FF">
      <w:pPr>
        <w:spacing w:line="273" w:lineRule="auto"/>
        <w:rPr>
          <w:rFonts w:ascii="Arial"/>
          <w:sz w:val="21"/>
        </w:rPr>
      </w:pPr>
    </w:p>
    <w:p w14:paraId="05041355">
      <w:pPr>
        <w:spacing w:line="273" w:lineRule="auto"/>
        <w:rPr>
          <w:rFonts w:ascii="Arial"/>
          <w:sz w:val="21"/>
        </w:rPr>
      </w:pPr>
    </w:p>
    <w:p w14:paraId="0D274102">
      <w:pPr>
        <w:spacing w:before="153" w:line="492" w:lineRule="auto"/>
        <w:ind w:left="0" w:leftChars="0" w:right="0" w:rightChars="0" w:firstLine="0" w:firstLineChars="0"/>
        <w:jc w:val="center"/>
        <w:rPr>
          <w:rFonts w:ascii="宋体" w:hAnsi="宋体" w:eastAsia="宋体" w:cs="宋体"/>
          <w:b/>
          <w:bCs/>
          <w:spacing w:val="4"/>
          <w:sz w:val="47"/>
          <w:szCs w:val="47"/>
        </w:rPr>
      </w:pPr>
      <w:r>
        <w:rPr>
          <w:rFonts w:ascii="宋体" w:hAnsi="宋体" w:eastAsia="宋体" w:cs="宋体"/>
          <w:b/>
          <w:bCs/>
          <w:spacing w:val="4"/>
          <w:sz w:val="47"/>
          <w:szCs w:val="47"/>
        </w:rPr>
        <w:t>天津市科远系统工程有限公司</w:t>
      </w:r>
    </w:p>
    <w:p w14:paraId="0DB26A25">
      <w:pPr>
        <w:spacing w:before="153" w:line="492" w:lineRule="auto"/>
        <w:ind w:left="0" w:leftChars="0" w:right="0" w:rightChars="0" w:firstLine="0" w:firstLineChars="0"/>
        <w:jc w:val="center"/>
        <w:rPr>
          <w:rFonts w:hint="default" w:ascii="宋体" w:hAnsi="宋体" w:eastAsia="宋体" w:cs="宋体"/>
          <w:sz w:val="47"/>
          <w:szCs w:val="47"/>
          <w:lang w:val="en-US" w:eastAsia="zh-CN"/>
        </w:rPr>
      </w:pPr>
      <w:r>
        <w:rPr>
          <w:rFonts w:hint="eastAsia" w:ascii="宋体" w:hAnsi="宋体" w:cs="宋体"/>
          <w:b/>
          <w:bCs/>
          <w:spacing w:val="4"/>
          <w:sz w:val="47"/>
          <w:szCs w:val="47"/>
          <w:lang w:val="en-US" w:eastAsia="zh-CN"/>
        </w:rPr>
        <w:t>知识库</w:t>
      </w:r>
      <w:r>
        <w:rPr>
          <w:rFonts w:hint="eastAsia" w:ascii="宋体" w:hAnsi="宋体" w:eastAsia="宋体" w:cs="宋体"/>
          <w:b/>
          <w:bCs/>
          <w:spacing w:val="4"/>
          <w:sz w:val="47"/>
          <w:szCs w:val="47"/>
          <w:lang w:val="en-US" w:eastAsia="zh-CN"/>
        </w:rPr>
        <w:t>应用情况说明</w:t>
      </w:r>
    </w:p>
    <w:p w14:paraId="72D22BF7">
      <w:pPr>
        <w:spacing w:before="12"/>
      </w:pPr>
    </w:p>
    <w:p w14:paraId="5475C977">
      <w:pPr>
        <w:spacing w:before="12"/>
      </w:pPr>
    </w:p>
    <w:p w14:paraId="3409CFC0">
      <w:pPr>
        <w:spacing w:before="12"/>
      </w:pPr>
    </w:p>
    <w:p w14:paraId="6B162A2B">
      <w:pPr>
        <w:spacing w:before="12"/>
      </w:pPr>
    </w:p>
    <w:p w14:paraId="473A1FF0">
      <w:pPr>
        <w:spacing w:before="12"/>
      </w:pPr>
    </w:p>
    <w:p w14:paraId="6BF540F3">
      <w:pPr>
        <w:spacing w:before="12"/>
      </w:pPr>
    </w:p>
    <w:p w14:paraId="23F2F3A2">
      <w:pPr>
        <w:spacing w:before="12"/>
      </w:pPr>
    </w:p>
    <w:p w14:paraId="608C5F41">
      <w:pPr>
        <w:spacing w:before="12"/>
      </w:pPr>
    </w:p>
    <w:p w14:paraId="37ECD696">
      <w:pPr>
        <w:spacing w:before="12"/>
      </w:pPr>
    </w:p>
    <w:p w14:paraId="5D06F9AE">
      <w:pPr>
        <w:spacing w:before="12"/>
      </w:pPr>
    </w:p>
    <w:p w14:paraId="769C31D9">
      <w:pPr>
        <w:spacing w:before="12"/>
      </w:pPr>
    </w:p>
    <w:p w14:paraId="40381B04">
      <w:pPr>
        <w:spacing w:before="12"/>
      </w:pPr>
    </w:p>
    <w:p w14:paraId="4B2658E0">
      <w:pPr>
        <w:spacing w:before="12"/>
      </w:pPr>
    </w:p>
    <w:p w14:paraId="214836C8">
      <w:pPr>
        <w:spacing w:before="11"/>
      </w:pPr>
    </w:p>
    <w:p w14:paraId="2044BFB1">
      <w:pPr>
        <w:spacing w:before="11"/>
      </w:pPr>
    </w:p>
    <w:tbl>
      <w:tblPr>
        <w:tblStyle w:val="24"/>
        <w:tblW w:w="7004" w:type="dxa"/>
        <w:tblInd w:w="6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2691"/>
        <w:gridCol w:w="1282"/>
        <w:gridCol w:w="1702"/>
      </w:tblGrid>
      <w:tr w14:paraId="59018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29" w:type="dxa"/>
            <w:shd w:val="clear" w:color="auto" w:fill="D9D9D9"/>
            <w:vAlign w:val="top"/>
          </w:tcPr>
          <w:p w14:paraId="4D237D19">
            <w:pPr>
              <w:pStyle w:val="25"/>
              <w:spacing w:before="126" w:line="219" w:lineRule="auto"/>
              <w:ind w:left="190"/>
            </w:pPr>
            <w:r>
              <w:rPr>
                <w:b/>
                <w:bCs/>
                <w:spacing w:val="-5"/>
              </w:rPr>
              <w:t>文件编号</w:t>
            </w:r>
          </w:p>
        </w:tc>
        <w:tc>
          <w:tcPr>
            <w:tcW w:w="2691" w:type="dxa"/>
            <w:vAlign w:val="top"/>
          </w:tcPr>
          <w:p w14:paraId="5996F862">
            <w:pPr>
              <w:pStyle w:val="25"/>
              <w:spacing w:before="125"/>
              <w:ind w:left="152"/>
            </w:pPr>
            <w:r>
              <w:rPr>
                <w:spacing w:val="-1"/>
              </w:rPr>
              <w:t>SciWell-ITSS-YW-1101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4A5F351A">
            <w:pPr>
              <w:pStyle w:val="25"/>
              <w:spacing w:before="125" w:line="219" w:lineRule="auto"/>
              <w:ind w:left="528"/>
            </w:pPr>
            <w:r>
              <w:rPr>
                <w:b/>
                <w:bCs/>
                <w:spacing w:val="-8"/>
              </w:rPr>
              <w:t>版本</w:t>
            </w:r>
          </w:p>
        </w:tc>
        <w:tc>
          <w:tcPr>
            <w:tcW w:w="1702" w:type="dxa"/>
            <w:vAlign w:val="top"/>
          </w:tcPr>
          <w:p w14:paraId="2A4C49ED">
            <w:pPr>
              <w:pStyle w:val="25"/>
              <w:spacing w:before="125" w:line="239" w:lineRule="auto"/>
              <w:ind w:left="612"/>
            </w:pPr>
            <w:r>
              <w:rPr>
                <w:spacing w:val="-1"/>
              </w:rPr>
              <w:t>V1.0</w:t>
            </w:r>
          </w:p>
        </w:tc>
      </w:tr>
      <w:tr w14:paraId="725EF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329" w:type="dxa"/>
            <w:shd w:val="clear" w:color="auto" w:fill="D9D9D9"/>
            <w:vAlign w:val="top"/>
          </w:tcPr>
          <w:p w14:paraId="1FCEC52D">
            <w:pPr>
              <w:pStyle w:val="25"/>
              <w:spacing w:before="123" w:line="220" w:lineRule="auto"/>
              <w:ind w:left="429"/>
            </w:pPr>
            <w:r>
              <w:rPr>
                <w:b/>
                <w:bCs/>
                <w:spacing w:val="-8"/>
              </w:rPr>
              <w:t>作者</w:t>
            </w:r>
          </w:p>
        </w:tc>
        <w:tc>
          <w:tcPr>
            <w:tcW w:w="2691" w:type="dxa"/>
            <w:vAlign w:val="top"/>
          </w:tcPr>
          <w:p w14:paraId="043269AC">
            <w:pPr>
              <w:pStyle w:val="25"/>
              <w:spacing w:before="123" w:line="220" w:lineRule="auto"/>
              <w:ind w:left="993"/>
            </w:pPr>
            <w:r>
              <w:rPr>
                <w:spacing w:val="-4"/>
              </w:rPr>
              <w:t>王宇昊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03A3E279">
            <w:pPr>
              <w:pStyle w:val="25"/>
              <w:spacing w:before="124" w:line="219" w:lineRule="auto"/>
              <w:ind w:left="166"/>
            </w:pPr>
            <w:r>
              <w:rPr>
                <w:b/>
                <w:bCs/>
                <w:spacing w:val="-5"/>
              </w:rPr>
              <w:t>编写日期</w:t>
            </w:r>
          </w:p>
        </w:tc>
        <w:tc>
          <w:tcPr>
            <w:tcW w:w="1702" w:type="dxa"/>
            <w:vAlign w:val="top"/>
          </w:tcPr>
          <w:p w14:paraId="3FA711EF">
            <w:pPr>
              <w:pStyle w:val="25"/>
              <w:spacing w:before="123" w:line="238" w:lineRule="auto"/>
              <w:ind w:left="2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3AC84F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29" w:type="dxa"/>
            <w:shd w:val="clear" w:color="auto" w:fill="D9D9D9"/>
            <w:vAlign w:val="top"/>
          </w:tcPr>
          <w:p w14:paraId="2F3F5573">
            <w:pPr>
              <w:pStyle w:val="25"/>
              <w:spacing w:before="139" w:line="220" w:lineRule="auto"/>
              <w:ind w:left="441"/>
            </w:pPr>
            <w:r>
              <w:rPr>
                <w:b/>
                <w:bCs/>
                <w:spacing w:val="-14"/>
              </w:rPr>
              <w:t>审核</w:t>
            </w:r>
          </w:p>
        </w:tc>
        <w:tc>
          <w:tcPr>
            <w:tcW w:w="2691" w:type="dxa"/>
            <w:vAlign w:val="top"/>
          </w:tcPr>
          <w:p w14:paraId="78EFBE2A">
            <w:pPr>
              <w:pStyle w:val="25"/>
              <w:spacing w:before="116" w:line="219" w:lineRule="auto"/>
              <w:ind w:left="991"/>
            </w:pPr>
            <w:r>
              <w:rPr>
                <w:spacing w:val="-4"/>
              </w:rPr>
              <w:t>侯永平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780D7BAD">
            <w:pPr>
              <w:pStyle w:val="25"/>
              <w:spacing w:before="139" w:line="220" w:lineRule="auto"/>
              <w:ind w:left="177"/>
            </w:pPr>
            <w:r>
              <w:rPr>
                <w:b/>
                <w:bCs/>
                <w:spacing w:val="-8"/>
              </w:rPr>
              <w:t>审核日期</w:t>
            </w:r>
          </w:p>
        </w:tc>
        <w:tc>
          <w:tcPr>
            <w:tcW w:w="1702" w:type="dxa"/>
            <w:vAlign w:val="top"/>
          </w:tcPr>
          <w:p w14:paraId="1E1F76C8">
            <w:pPr>
              <w:pStyle w:val="25"/>
              <w:spacing w:before="138"/>
              <w:ind w:left="261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6ABCBE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329" w:type="dxa"/>
            <w:shd w:val="clear" w:color="auto" w:fill="D9D9D9"/>
            <w:vAlign w:val="top"/>
          </w:tcPr>
          <w:p w14:paraId="55FCB215">
            <w:pPr>
              <w:pStyle w:val="25"/>
              <w:spacing w:before="124" w:line="221" w:lineRule="auto"/>
              <w:ind w:left="427"/>
            </w:pPr>
            <w:r>
              <w:rPr>
                <w:b/>
                <w:bCs/>
                <w:spacing w:val="-7"/>
              </w:rPr>
              <w:t>批准</w:t>
            </w:r>
          </w:p>
        </w:tc>
        <w:tc>
          <w:tcPr>
            <w:tcW w:w="2691" w:type="dxa"/>
            <w:vAlign w:val="top"/>
          </w:tcPr>
          <w:p w14:paraId="570A4C6F">
            <w:pPr>
              <w:pStyle w:val="25"/>
              <w:spacing w:before="125" w:line="221" w:lineRule="auto"/>
              <w:ind w:left="1110"/>
            </w:pPr>
            <w:r>
              <w:rPr>
                <w:spacing w:val="-5"/>
              </w:rPr>
              <w:t>赵洁</w:t>
            </w:r>
          </w:p>
        </w:tc>
        <w:tc>
          <w:tcPr>
            <w:tcW w:w="1282" w:type="dxa"/>
            <w:shd w:val="clear" w:color="auto" w:fill="D8D8D8"/>
            <w:vAlign w:val="top"/>
          </w:tcPr>
          <w:p w14:paraId="5C3395FB">
            <w:pPr>
              <w:pStyle w:val="25"/>
              <w:spacing w:before="125" w:line="220" w:lineRule="auto"/>
              <w:ind w:left="163"/>
            </w:pPr>
            <w:r>
              <w:rPr>
                <w:b/>
                <w:bCs/>
                <w:spacing w:val="-5"/>
              </w:rPr>
              <w:t>批准日期</w:t>
            </w:r>
          </w:p>
        </w:tc>
        <w:tc>
          <w:tcPr>
            <w:tcW w:w="1702" w:type="dxa"/>
            <w:vAlign w:val="top"/>
          </w:tcPr>
          <w:p w14:paraId="40D78956">
            <w:pPr>
              <w:pStyle w:val="25"/>
              <w:spacing w:before="124" w:line="237" w:lineRule="auto"/>
              <w:ind w:left="261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6E6106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329" w:type="dxa"/>
            <w:shd w:val="clear" w:color="auto" w:fill="D9D9D9"/>
            <w:vAlign w:val="top"/>
          </w:tcPr>
          <w:p w14:paraId="24D252B7">
            <w:pPr>
              <w:pStyle w:val="25"/>
              <w:spacing w:before="130" w:line="219" w:lineRule="auto"/>
              <w:ind w:left="192"/>
            </w:pPr>
            <w:r>
              <w:rPr>
                <w:b/>
                <w:bCs/>
                <w:spacing w:val="-6"/>
              </w:rPr>
              <w:t>发布范围</w:t>
            </w:r>
          </w:p>
        </w:tc>
        <w:tc>
          <w:tcPr>
            <w:tcW w:w="2691" w:type="dxa"/>
            <w:vAlign w:val="top"/>
          </w:tcPr>
          <w:p w14:paraId="4A72968F">
            <w:pPr>
              <w:pStyle w:val="25"/>
              <w:spacing w:before="131" w:line="219" w:lineRule="auto"/>
              <w:ind w:left="1020"/>
            </w:pPr>
            <w:r>
              <w:rPr>
                <w:spacing w:val="-20"/>
              </w:rPr>
              <w:t>内</w:t>
            </w:r>
            <w:r>
              <w:rPr>
                <w:spacing w:val="6"/>
              </w:rPr>
              <w:t xml:space="preserve">  </w:t>
            </w:r>
            <w:r>
              <w:rPr>
                <w:spacing w:val="-20"/>
              </w:rPr>
              <w:t>部</w:t>
            </w:r>
          </w:p>
        </w:tc>
        <w:tc>
          <w:tcPr>
            <w:tcW w:w="1282" w:type="dxa"/>
            <w:shd w:val="clear" w:color="auto" w:fill="D8D8D8"/>
            <w:vAlign w:val="top"/>
          </w:tcPr>
          <w:p w14:paraId="24CE135F">
            <w:pPr>
              <w:pStyle w:val="25"/>
              <w:spacing w:before="130" w:line="219" w:lineRule="auto"/>
              <w:ind w:left="168"/>
            </w:pPr>
            <w:r>
              <w:rPr>
                <w:b/>
                <w:bCs/>
                <w:spacing w:val="-6"/>
              </w:rPr>
              <w:t>发布日期</w:t>
            </w:r>
          </w:p>
        </w:tc>
        <w:tc>
          <w:tcPr>
            <w:tcW w:w="1702" w:type="dxa"/>
            <w:vAlign w:val="top"/>
          </w:tcPr>
          <w:p w14:paraId="62CDF88A">
            <w:pPr>
              <w:pStyle w:val="25"/>
              <w:spacing w:before="130"/>
              <w:ind w:left="261"/>
              <w:rPr>
                <w:rFonts w:hint="default"/>
                <w:lang w:val="en-US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26</w:t>
            </w:r>
          </w:p>
        </w:tc>
      </w:tr>
    </w:tbl>
    <w:p w14:paraId="78B1E0AB">
      <w:pPr>
        <w:rPr>
          <w:rFonts w:ascii="Arial"/>
          <w:sz w:val="21"/>
        </w:rPr>
      </w:pPr>
    </w:p>
    <w:p w14:paraId="247608E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7FEA76F9">
      <w:pPr>
        <w:spacing w:line="396" w:lineRule="auto"/>
        <w:rPr>
          <w:rFonts w:ascii="Arial"/>
          <w:sz w:val="21"/>
        </w:rPr>
      </w:pPr>
    </w:p>
    <w:p w14:paraId="08202E24">
      <w:pPr>
        <w:pStyle w:val="12"/>
        <w:spacing w:before="91" w:line="220" w:lineRule="auto"/>
        <w:ind w:left="3336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文档修订信息</w:t>
      </w:r>
    </w:p>
    <w:p w14:paraId="1B996974">
      <w:pPr>
        <w:spacing w:before="188"/>
      </w:pPr>
    </w:p>
    <w:tbl>
      <w:tblPr>
        <w:tblStyle w:val="24"/>
        <w:tblW w:w="8261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532"/>
        <w:gridCol w:w="1671"/>
        <w:gridCol w:w="1915"/>
        <w:gridCol w:w="1854"/>
      </w:tblGrid>
      <w:tr w14:paraId="10259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289" w:type="dxa"/>
            <w:shd w:val="clear" w:color="auto" w:fill="E5E5E5"/>
            <w:vAlign w:val="top"/>
          </w:tcPr>
          <w:p w14:paraId="717090D7">
            <w:pPr>
              <w:pStyle w:val="25"/>
              <w:spacing w:before="156" w:line="219" w:lineRule="auto"/>
              <w:ind w:left="288"/>
            </w:pPr>
            <w:r>
              <w:rPr>
                <w:b/>
                <w:bCs/>
                <w:spacing w:val="-6"/>
              </w:rPr>
              <w:t>版本号</w:t>
            </w:r>
          </w:p>
        </w:tc>
        <w:tc>
          <w:tcPr>
            <w:tcW w:w="1532" w:type="dxa"/>
            <w:shd w:val="clear" w:color="auto" w:fill="E5E5E5"/>
            <w:vAlign w:val="top"/>
          </w:tcPr>
          <w:p w14:paraId="6400561A">
            <w:pPr>
              <w:pStyle w:val="25"/>
              <w:spacing w:before="157" w:line="219" w:lineRule="auto"/>
              <w:ind w:left="287"/>
            </w:pPr>
            <w:r>
              <w:rPr>
                <w:b/>
                <w:bCs/>
                <w:spacing w:val="-5"/>
              </w:rPr>
              <w:t>修订日期</w:t>
            </w:r>
          </w:p>
        </w:tc>
        <w:tc>
          <w:tcPr>
            <w:tcW w:w="1671" w:type="dxa"/>
            <w:shd w:val="clear" w:color="auto" w:fill="E5E5E5"/>
            <w:vAlign w:val="top"/>
          </w:tcPr>
          <w:p w14:paraId="56FFF718">
            <w:pPr>
              <w:pStyle w:val="25"/>
              <w:spacing w:before="157" w:line="219" w:lineRule="auto"/>
              <w:ind w:left="478"/>
            </w:pPr>
            <w:r>
              <w:rPr>
                <w:b/>
                <w:bCs/>
                <w:spacing w:val="-5"/>
              </w:rPr>
              <w:t>修订人</w:t>
            </w:r>
          </w:p>
        </w:tc>
        <w:tc>
          <w:tcPr>
            <w:tcW w:w="1915" w:type="dxa"/>
            <w:shd w:val="clear" w:color="auto" w:fill="E5E5E5"/>
            <w:vAlign w:val="top"/>
          </w:tcPr>
          <w:p w14:paraId="4041E0ED">
            <w:pPr>
              <w:pStyle w:val="25"/>
              <w:spacing w:before="157" w:line="219" w:lineRule="auto"/>
              <w:ind w:left="482"/>
            </w:pPr>
            <w:r>
              <w:rPr>
                <w:b/>
                <w:bCs/>
                <w:spacing w:val="-5"/>
              </w:rPr>
              <w:t>修订说明</w:t>
            </w:r>
          </w:p>
        </w:tc>
        <w:tc>
          <w:tcPr>
            <w:tcW w:w="1854" w:type="dxa"/>
            <w:shd w:val="clear" w:color="auto" w:fill="E5E5E5"/>
            <w:vAlign w:val="top"/>
          </w:tcPr>
          <w:p w14:paraId="35142B5F">
            <w:pPr>
              <w:pStyle w:val="25"/>
              <w:spacing w:before="156" w:line="221" w:lineRule="auto"/>
              <w:ind w:left="694"/>
            </w:pPr>
            <w:r>
              <w:rPr>
                <w:b/>
                <w:bCs/>
                <w:spacing w:val="-9"/>
              </w:rPr>
              <w:t>备注</w:t>
            </w:r>
          </w:p>
        </w:tc>
      </w:tr>
      <w:tr w14:paraId="3A79F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289" w:type="dxa"/>
            <w:vAlign w:val="top"/>
          </w:tcPr>
          <w:p w14:paraId="48436755">
            <w:pPr>
              <w:pStyle w:val="25"/>
              <w:spacing w:before="147" w:line="239" w:lineRule="auto"/>
              <w:ind w:left="416"/>
            </w:pPr>
            <w:r>
              <w:rPr>
                <w:spacing w:val="-1"/>
              </w:rPr>
              <w:t>V1.0</w:t>
            </w:r>
          </w:p>
        </w:tc>
        <w:tc>
          <w:tcPr>
            <w:tcW w:w="1532" w:type="dxa"/>
            <w:vAlign w:val="top"/>
          </w:tcPr>
          <w:p w14:paraId="689977A6">
            <w:pPr>
              <w:pStyle w:val="25"/>
              <w:spacing w:before="147"/>
              <w:ind w:left="184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  <w:tc>
          <w:tcPr>
            <w:tcW w:w="1671" w:type="dxa"/>
            <w:vAlign w:val="top"/>
          </w:tcPr>
          <w:p w14:paraId="619358FD">
            <w:pPr>
              <w:pStyle w:val="25"/>
              <w:spacing w:before="148" w:line="220" w:lineRule="auto"/>
              <w:ind w:left="494"/>
            </w:pPr>
            <w:r>
              <w:rPr>
                <w:spacing w:val="-4"/>
              </w:rPr>
              <w:t>王宇昊</w:t>
            </w:r>
          </w:p>
        </w:tc>
        <w:tc>
          <w:tcPr>
            <w:tcW w:w="1915" w:type="dxa"/>
            <w:vAlign w:val="top"/>
          </w:tcPr>
          <w:p w14:paraId="0D312532">
            <w:pPr>
              <w:pStyle w:val="25"/>
              <w:spacing w:before="148" w:line="220" w:lineRule="auto"/>
              <w:ind w:left="737"/>
            </w:pPr>
            <w:r>
              <w:rPr>
                <w:spacing w:val="-6"/>
              </w:rPr>
              <w:t>新建</w:t>
            </w:r>
          </w:p>
        </w:tc>
        <w:tc>
          <w:tcPr>
            <w:tcW w:w="1854" w:type="dxa"/>
            <w:vAlign w:val="top"/>
          </w:tcPr>
          <w:p w14:paraId="0BC09DF2">
            <w:pPr>
              <w:rPr>
                <w:rFonts w:ascii="Arial"/>
                <w:sz w:val="21"/>
              </w:rPr>
            </w:pPr>
          </w:p>
        </w:tc>
      </w:tr>
      <w:tr w14:paraId="20DEA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289" w:type="dxa"/>
            <w:vAlign w:val="top"/>
          </w:tcPr>
          <w:p w14:paraId="459FB4C1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3BD3F997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4B3F0A20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61AA5083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15B19779">
            <w:pPr>
              <w:rPr>
                <w:rFonts w:ascii="Arial"/>
                <w:sz w:val="21"/>
              </w:rPr>
            </w:pPr>
          </w:p>
        </w:tc>
      </w:tr>
      <w:tr w14:paraId="77346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289" w:type="dxa"/>
            <w:vAlign w:val="top"/>
          </w:tcPr>
          <w:p w14:paraId="09A307C4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29A82965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129EA3A6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72048F19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7FA58D1D">
            <w:pPr>
              <w:rPr>
                <w:rFonts w:ascii="Arial"/>
                <w:sz w:val="21"/>
              </w:rPr>
            </w:pPr>
          </w:p>
        </w:tc>
      </w:tr>
      <w:tr w14:paraId="300F0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289" w:type="dxa"/>
            <w:vAlign w:val="top"/>
          </w:tcPr>
          <w:p w14:paraId="2681E117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1A2755C4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48015DD1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1AD72E9A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01750EEF">
            <w:pPr>
              <w:rPr>
                <w:rFonts w:ascii="Arial"/>
                <w:sz w:val="21"/>
              </w:rPr>
            </w:pPr>
          </w:p>
        </w:tc>
      </w:tr>
      <w:tr w14:paraId="4F347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289" w:type="dxa"/>
            <w:vAlign w:val="top"/>
          </w:tcPr>
          <w:p w14:paraId="466FB6E8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0DB33D92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6F09F9C2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3E166984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347E4B83">
            <w:pPr>
              <w:rPr>
                <w:rFonts w:ascii="Arial"/>
                <w:sz w:val="21"/>
              </w:rPr>
            </w:pPr>
          </w:p>
        </w:tc>
      </w:tr>
    </w:tbl>
    <w:p w14:paraId="5299CB54">
      <w:pPr>
        <w:rPr>
          <w:rFonts w:ascii="Arial"/>
          <w:sz w:val="21"/>
        </w:rPr>
      </w:pPr>
    </w:p>
    <w:p w14:paraId="56D5D8B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5B7F2C3C">
      <w:pPr>
        <w:spacing w:line="368" w:lineRule="auto"/>
        <w:rPr>
          <w:rFonts w:ascii="Arial"/>
          <w:sz w:val="21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18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3B9625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550521">
          <w:pPr>
            <w:pStyle w:val="16"/>
            <w:tabs>
              <w:tab w:val="right" w:leader="dot" w:pos="833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"1-3" \h \u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_Toc6673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备品备件管理体系概述</w:t>
          </w:r>
          <w:r>
            <w:tab/>
          </w:r>
          <w:r>
            <w:fldChar w:fldCharType="begin"/>
          </w:r>
          <w:r>
            <w:instrText xml:space="preserve"> PAGEREF _Toc6673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625243DC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_Toc21922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_Toc21922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E55D6DE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_Toc32007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关键绩效指标（KPI）达成情况与应用成效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2EEECD39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_Toc14653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应用成效总结</w:t>
          </w:r>
          <w:r>
            <w:tab/>
          </w:r>
          <w:r>
            <w:fldChar w:fldCharType="begin"/>
          </w:r>
          <w:r>
            <w:instrText xml:space="preserve"> PAGEREF _Toc14653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7D7072D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_Toc27479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_Toc27479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CE3F7A6">
          <w:pPr>
            <w:spacing w:line="219" w:lineRule="auto"/>
            <w:rPr>
              <w:rFonts w:ascii="Arial" w:hAnsi="Arial" w:eastAsia="宋体" w:cs="Arial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szCs w:val="24"/>
            </w:rPr>
            <w:fldChar w:fldCharType="end"/>
          </w:r>
        </w:p>
      </w:sdtContent>
    </w:sdt>
    <w:p w14:paraId="46E88807">
      <w:pPr>
        <w:spacing w:line="219" w:lineRule="auto"/>
        <w:rPr>
          <w:rFonts w:ascii="Arial" w:hAnsi="Arial" w:eastAsia="宋体" w:cs="Arial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652032E0">
      <w:pPr>
        <w:pStyle w:val="28"/>
        <w:bidi w:val="0"/>
        <w:rPr>
          <w:rFonts w:hint="eastAsia"/>
        </w:rPr>
      </w:pPr>
      <w:r>
        <w:rPr>
          <w:rFonts w:hint="eastAsia"/>
        </w:rPr>
        <w:t>知识库管理体系概述</w:t>
      </w:r>
    </w:p>
    <w:p w14:paraId="18987FBC">
      <w:pPr>
        <w:pStyle w:val="29"/>
        <w:bidi w:val="0"/>
        <w:rPr>
          <w:rFonts w:hint="eastAsia"/>
        </w:rPr>
      </w:pPr>
      <w:r>
        <w:rPr>
          <w:rFonts w:hint="eastAsia"/>
        </w:rPr>
        <w:t>公司知识库管理遵循“统一管理、集中维护、全员共享、持续优化”的原则，旨在构建一个内容准确、分类清晰、获取便捷、安全可控的知识共享平台。该体系由软件研发部主导管理，技术部（运维团队）为主要贡献和使用方，覆盖了知识的产生、审核、发布、使用、更新和淘汰的全生命周期。</w:t>
      </w:r>
    </w:p>
    <w:p w14:paraId="28191018">
      <w:pPr>
        <w:pStyle w:val="28"/>
        <w:bidi w:val="0"/>
        <w:rPr>
          <w:rFonts w:hint="eastAsia"/>
        </w:rPr>
      </w:pPr>
      <w:r>
        <w:rPr>
          <w:rFonts w:hint="eastAsia"/>
        </w:rPr>
        <w:t>核心管理机制的应用与执行情况</w:t>
      </w:r>
    </w:p>
    <w:p w14:paraId="52491B66">
      <w:pPr>
        <w:pStyle w:val="30"/>
        <w:bidi w:val="0"/>
        <w:rPr>
          <w:rFonts w:hint="eastAsia"/>
        </w:rPr>
      </w:pPr>
      <w:r>
        <w:rPr>
          <w:rFonts w:hint="eastAsia"/>
        </w:rPr>
        <w:t>清晰的角色与职责分工</w:t>
      </w:r>
    </w:p>
    <w:p w14:paraId="1C42C684">
      <w:pPr>
        <w:pStyle w:val="31"/>
        <w:bidi w:val="0"/>
        <w:rPr>
          <w:rFonts w:hint="eastAsia"/>
        </w:rPr>
      </w:pPr>
      <w:r>
        <w:rPr>
          <w:rFonts w:hint="eastAsia"/>
        </w:rPr>
        <w:t>知识库管理员</w:t>
      </w:r>
    </w:p>
    <w:p w14:paraId="468AB792">
      <w:pPr>
        <w:pStyle w:val="29"/>
        <w:bidi w:val="0"/>
        <w:rPr>
          <w:rFonts w:hint="eastAsia"/>
        </w:rPr>
      </w:pPr>
      <w:r>
        <w:rPr>
          <w:rFonts w:hint="eastAsia"/>
        </w:rPr>
        <w:t>由软件研发部经理兼任，负责制度执行、知识入库审批、知识质量监督与权限管理。</w:t>
      </w:r>
    </w:p>
    <w:p w14:paraId="6CFCFC73">
      <w:pPr>
        <w:pStyle w:val="31"/>
        <w:bidi w:val="0"/>
        <w:rPr>
          <w:rFonts w:hint="eastAsia"/>
        </w:rPr>
      </w:pPr>
      <w:r>
        <w:rPr>
          <w:rFonts w:hint="eastAsia"/>
        </w:rPr>
        <w:t>知识库操作员</w:t>
      </w:r>
    </w:p>
    <w:p w14:paraId="6368BCC3">
      <w:pPr>
        <w:pStyle w:val="29"/>
        <w:bidi w:val="0"/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开发工程师兼任，负责知识的日常发布、分类整理、系统维护与内容更新。</w:t>
      </w:r>
    </w:p>
    <w:p w14:paraId="5FC5B522">
      <w:pPr>
        <w:pStyle w:val="29"/>
        <w:bidi w:val="0"/>
        <w:rPr>
          <w:rFonts w:hint="eastAsia"/>
        </w:rPr>
      </w:pPr>
      <w:r>
        <w:rPr>
          <w:rFonts w:hint="eastAsia"/>
        </w:rPr>
        <w:t>此分工确保了知识管理的专业性与执行力，形成了有效的管理与操作分离的制衡机制。</w:t>
      </w:r>
    </w:p>
    <w:p w14:paraId="3E262FC7">
      <w:pPr>
        <w:pStyle w:val="30"/>
        <w:bidi w:val="0"/>
        <w:rPr>
          <w:rFonts w:hint="eastAsia"/>
        </w:rPr>
      </w:pPr>
      <w:r>
        <w:rPr>
          <w:rFonts w:hint="eastAsia"/>
        </w:rPr>
        <w:t>规范的知识管理流程</w:t>
      </w:r>
    </w:p>
    <w:p w14:paraId="7AA7B978">
      <w:pPr>
        <w:pStyle w:val="31"/>
        <w:bidi w:val="0"/>
        <w:rPr>
          <w:rFonts w:hint="eastAsia"/>
        </w:rPr>
      </w:pPr>
      <w:r>
        <w:rPr>
          <w:rFonts w:hint="eastAsia"/>
        </w:rPr>
        <w:t>发布流程</w:t>
      </w:r>
    </w:p>
    <w:p w14:paraId="5A81247F">
      <w:pPr>
        <w:pStyle w:val="29"/>
        <w:bidi w:val="0"/>
        <w:rPr>
          <w:rFonts w:hint="eastAsia"/>
        </w:rPr>
      </w:pPr>
      <w:r>
        <w:rPr>
          <w:rFonts w:hint="eastAsia"/>
        </w:rPr>
        <w:t>严格执行“提交 → 审批 → 发布”的流程。运维人员在提交前需检索查重，经管理员审批后，由操作员在1天内完成发布，确保了知识的有效性和唯一性。</w:t>
      </w:r>
    </w:p>
    <w:p w14:paraId="7556DE45">
      <w:pPr>
        <w:pStyle w:val="31"/>
        <w:bidi w:val="0"/>
        <w:rPr>
          <w:rFonts w:hint="eastAsia"/>
        </w:rPr>
      </w:pPr>
      <w:r>
        <w:rPr>
          <w:rFonts w:hint="eastAsia"/>
        </w:rPr>
        <w:t>更新与删除流程</w:t>
      </w:r>
    </w:p>
    <w:p w14:paraId="66329F19">
      <w:pPr>
        <w:pStyle w:val="29"/>
        <w:bidi w:val="0"/>
        <w:rPr>
          <w:rFonts w:hint="eastAsia"/>
        </w:rPr>
      </w:pPr>
      <w:r>
        <w:rPr>
          <w:rFonts w:hint="eastAsia"/>
        </w:rPr>
        <w:t>任何知识的变更或逻辑删除均需提交申请，经管理员审批后方可执行，保障了知识库内容的准确性与严肃性。</w:t>
      </w:r>
    </w:p>
    <w:p w14:paraId="086BCED5">
      <w:pPr>
        <w:pStyle w:val="30"/>
        <w:bidi w:val="0"/>
        <w:rPr>
          <w:rFonts w:hint="eastAsia"/>
        </w:rPr>
      </w:pPr>
      <w:r>
        <w:rPr>
          <w:rFonts w:hint="eastAsia"/>
        </w:rPr>
        <w:t>与运维流程的紧密结合</w:t>
      </w:r>
    </w:p>
    <w:p w14:paraId="32E45AB2">
      <w:pPr>
        <w:pStyle w:val="29"/>
        <w:bidi w:val="0"/>
        <w:rPr>
          <w:rFonts w:hint="eastAsia"/>
        </w:rPr>
      </w:pPr>
      <w:r>
        <w:rPr>
          <w:rFonts w:hint="eastAsia"/>
        </w:rPr>
        <w:t>制度要求将“事件升级为问题”后形成的典型解决方案，经审批后作为“已知错误”录入知识库。</w:t>
      </w:r>
    </w:p>
    <w:p w14:paraId="51E2645B">
      <w:pPr>
        <w:pStyle w:val="29"/>
        <w:bidi w:val="0"/>
        <w:rPr>
          <w:rFonts w:hint="eastAsia"/>
        </w:rPr>
      </w:pPr>
      <w:r>
        <w:rPr>
          <w:rFonts w:hint="eastAsia"/>
        </w:rPr>
        <w:t>此要求已在运维流程中落实，并与KPI指标“问题转知识的比率”挂钩，2025年季度数据（90%、95%、90%）均达成≥9</w:t>
      </w:r>
      <w:bookmarkStart w:id="0" w:name="_GoBack"/>
      <w:bookmarkEnd w:id="0"/>
      <w:r>
        <w:rPr>
          <w:rFonts w:hint="eastAsia"/>
        </w:rPr>
        <w:t>0% 的目标，有效促进了运维经验的沉淀。</w:t>
      </w:r>
    </w:p>
    <w:p w14:paraId="370F4FEA">
      <w:pPr>
        <w:pStyle w:val="30"/>
        <w:bidi w:val="0"/>
        <w:rPr>
          <w:rFonts w:hint="eastAsia"/>
        </w:rPr>
      </w:pPr>
      <w:r>
        <w:rPr>
          <w:rFonts w:hint="eastAsia"/>
        </w:rPr>
        <w:t>严格的内容与权限安全管理</w:t>
      </w:r>
    </w:p>
    <w:p w14:paraId="44EFA1A9">
      <w:pPr>
        <w:pStyle w:val="29"/>
        <w:bidi w:val="0"/>
        <w:rPr>
          <w:rFonts w:hint="eastAsia"/>
        </w:rPr>
      </w:pPr>
      <w:r>
        <w:rPr>
          <w:rFonts w:hint="eastAsia"/>
        </w:rPr>
        <w:t>内容管理：知识库内容聚焦于“专业技术知识”与“已知错误”，要求内容经过实践验证，并按照“基础环境类、硬件类、软件类”进行分类，结构清晰。</w:t>
      </w:r>
    </w:p>
    <w:p w14:paraId="5D1A9951">
      <w:pPr>
        <w:pStyle w:val="29"/>
        <w:bidi w:val="0"/>
        <w:rPr>
          <w:rFonts w:hint="eastAsia"/>
        </w:rPr>
      </w:pPr>
      <w:r>
        <w:rPr>
          <w:rFonts w:hint="eastAsia"/>
        </w:rPr>
        <w:t>平台与权限：公司使用PingCode知识库进行管理，管理员可精细设置文档的查看、编辑、下载权限，并对分享内容添加水印、禁止复制，充分保障了知识资产的安全性与可控性。</w:t>
      </w:r>
    </w:p>
    <w:p w14:paraId="108E6CC0">
      <w:pPr>
        <w:pStyle w:val="29"/>
        <w:bidi w:val="0"/>
      </w:pPr>
      <w:r>
        <w:drawing>
          <wp:inline distT="0" distB="0" distL="114300" distR="114300">
            <wp:extent cx="5550535" cy="2135505"/>
            <wp:effectExtent l="0" t="0" r="12065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C62D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权限管理</w:t>
      </w:r>
    </w:p>
    <w:p w14:paraId="6ECEBC7A">
      <w:pPr>
        <w:pStyle w:val="29"/>
        <w:bidi w:val="0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561840" cy="1924685"/>
            <wp:effectExtent l="0" t="0" r="10160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BF52">
      <w:pPr>
        <w:pStyle w:val="29"/>
        <w:bidi w:val="0"/>
        <w:ind w:left="0" w:leftChars="0" w:right="0" w:rightChars="0" w:firstLine="0" w:firstLineChars="0"/>
        <w:jc w:val="center"/>
      </w:pPr>
      <w:r>
        <w:rPr>
          <w:rFonts w:hint="eastAsia"/>
          <w:lang w:val="en-US" w:eastAsia="zh-CN"/>
        </w:rPr>
        <w:t>权限设置</w:t>
      </w:r>
      <w:r>
        <w:drawing>
          <wp:inline distT="0" distB="0" distL="114300" distR="114300">
            <wp:extent cx="5541010" cy="1682115"/>
            <wp:effectExtent l="0" t="0" r="25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47995" cy="2570480"/>
            <wp:effectExtent l="0" t="0" r="1460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181B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知识库分类</w:t>
      </w:r>
    </w:p>
    <w:p w14:paraId="5E270BC3">
      <w:pPr>
        <w:pStyle w:val="28"/>
        <w:bidi w:val="0"/>
        <w:rPr>
          <w:rFonts w:hint="eastAsia"/>
        </w:rPr>
      </w:pPr>
      <w:r>
        <w:rPr>
          <w:rFonts w:hint="eastAsia"/>
        </w:rPr>
        <w:t>关键绩效指标（KPI）达成情况与应用成效</w:t>
      </w:r>
    </w:p>
    <w:p w14:paraId="12ED935A">
      <w:pPr>
        <w:pStyle w:val="29"/>
        <w:bidi w:val="0"/>
        <w:rPr>
          <w:rFonts w:hint="eastAsia"/>
        </w:rPr>
      </w:pPr>
      <w:r>
        <w:rPr>
          <w:rFonts w:hint="eastAsia"/>
          <w:lang w:val="en-US" w:eastAsia="zh-CN"/>
        </w:rPr>
        <w:t>据统计</w:t>
      </w:r>
      <w:r>
        <w:rPr>
          <w:rFonts w:hint="eastAsia"/>
        </w:rPr>
        <w:t>的数据显示，公司知识库管理体系运行高效，知识沉淀与复用效果显著：</w:t>
      </w:r>
    </w:p>
    <w:p w14:paraId="4DDFB36F">
      <w:pPr>
        <w:pStyle w:val="29"/>
        <w:bidi w:val="0"/>
        <w:rPr>
          <w:rFonts w:hint="eastAsia"/>
        </w:rPr>
      </w:pPr>
      <w:r>
        <w:rPr>
          <w:rFonts w:hint="eastAsia"/>
        </w:rPr>
        <w:t>知识积累持续活跃：核心指标“新增知识条目”在2025年1月至10月期间，每月新增数（5条, 6条, 5条, 8条, 8条, 5条, 5条, 7条, 5条, 6条）均达到或超过 ≥5条 的月度目标。这证明了知识贡献已成为运维团队的常态化工作。</w:t>
      </w:r>
    </w:p>
    <w:p w14:paraId="583B352C">
      <w:pPr>
        <w:pStyle w:val="29"/>
        <w:bidi w:val="0"/>
        <w:rPr>
          <w:rFonts w:hint="eastAsia"/>
        </w:rPr>
      </w:pPr>
      <w:r>
        <w:rPr>
          <w:rFonts w:hint="eastAsia"/>
        </w:rPr>
        <w:t>知识转化机制有效：如前所述，“问题转知识的比率”的持续达标，证明了从日常故障处理到知识沉淀的转化通道畅通无阻，知识库内容得以持续丰富和更新。</w:t>
      </w:r>
    </w:p>
    <w:p w14:paraId="6E3E5E2C">
      <w:pPr>
        <w:pStyle w:val="29"/>
        <w:bidi w:val="0"/>
        <w:rPr>
          <w:rFonts w:hint="eastAsia"/>
        </w:rPr>
      </w:pPr>
      <w:r>
        <w:rPr>
          <w:rFonts w:hint="eastAsia"/>
        </w:rPr>
        <w:t>支撑服务效率提升：活跃的知识库为服务台一线解决和工程师快速排障提供了有力支持，间接支撑了 “服务台请求关闭率≥95%” 和 “事件解决用户满意度≥95%” 等高阶指标的达成，有效降低了对核心人员的依赖，提升了团队整体作战能力。</w:t>
      </w:r>
    </w:p>
    <w:p w14:paraId="02104B70">
      <w:pPr>
        <w:pStyle w:val="28"/>
        <w:bidi w:val="0"/>
        <w:rPr>
          <w:rFonts w:hint="eastAsia"/>
        </w:rPr>
      </w:pPr>
      <w:r>
        <w:rPr>
          <w:rFonts w:hint="eastAsia"/>
        </w:rPr>
        <w:t>应用成效总结</w:t>
      </w:r>
    </w:p>
    <w:p w14:paraId="0789FCC6">
      <w:pPr>
        <w:pStyle w:val="29"/>
        <w:bidi w:val="0"/>
        <w:rPr>
          <w:rFonts w:hint="eastAsia"/>
        </w:rPr>
      </w:pPr>
      <w:r>
        <w:rPr>
          <w:rFonts w:hint="eastAsia"/>
        </w:rPr>
        <w:t>公司知识库管理体系通过制度化的流程、平台化的工具和数据化的考核，取得了以下显著成效：</w:t>
      </w:r>
    </w:p>
    <w:p w14:paraId="617C9338">
      <w:pPr>
        <w:pStyle w:val="29"/>
        <w:bidi w:val="0"/>
        <w:rPr>
          <w:rFonts w:hint="eastAsia"/>
        </w:rPr>
      </w:pPr>
      <w:r>
        <w:rPr>
          <w:rFonts w:hint="eastAsia"/>
        </w:rPr>
        <w:t>知识资产化：将分散在个人手中的经验系统性地转化为组织的标准知识资产，避免了知识流失。</w:t>
      </w:r>
    </w:p>
    <w:p w14:paraId="504AF1E3">
      <w:pPr>
        <w:pStyle w:val="29"/>
        <w:bidi w:val="0"/>
        <w:rPr>
          <w:rFonts w:hint="eastAsia"/>
        </w:rPr>
      </w:pPr>
      <w:r>
        <w:rPr>
          <w:rFonts w:hint="eastAsia"/>
        </w:rPr>
        <w:t>运维高效化：通过知识复用，缩短了故障排查与解决时间，提升了一线解决率，降低了运维成本。</w:t>
      </w:r>
    </w:p>
    <w:p w14:paraId="794401EC">
      <w:pPr>
        <w:pStyle w:val="29"/>
        <w:bidi w:val="0"/>
        <w:rPr>
          <w:rFonts w:hint="eastAsia"/>
        </w:rPr>
      </w:pPr>
      <w:r>
        <w:rPr>
          <w:rFonts w:hint="eastAsia"/>
        </w:rPr>
        <w:t>团队协同化：建立了共享与学习的文化，促进了团队成员之间的经验交流与技术成长。</w:t>
      </w:r>
    </w:p>
    <w:p w14:paraId="035FA369">
      <w:pPr>
        <w:pStyle w:val="29"/>
        <w:bidi w:val="0"/>
        <w:rPr>
          <w:rFonts w:hint="eastAsia"/>
        </w:rPr>
      </w:pPr>
      <w:r>
        <w:rPr>
          <w:rFonts w:hint="eastAsia"/>
        </w:rPr>
        <w:t>管理闭环化：通过“贡献-审核-应用-激励”的闭环，以及关联的KPI考核，确保了知识库的活力和长期发展。</w:t>
      </w:r>
    </w:p>
    <w:p w14:paraId="6868B960">
      <w:pPr>
        <w:pStyle w:val="28"/>
        <w:bidi w:val="0"/>
        <w:rPr>
          <w:rFonts w:hint="eastAsia"/>
        </w:rPr>
      </w:pPr>
      <w:r>
        <w:rPr>
          <w:rFonts w:hint="eastAsia"/>
        </w:rPr>
        <w:t>结论</w:t>
      </w:r>
    </w:p>
    <w:p w14:paraId="450B7899">
      <w:pPr>
        <w:pStyle w:val="29"/>
        <w:bidi w:val="0"/>
        <w:rPr>
          <w:rFonts w:hint="eastAsia"/>
        </w:rPr>
      </w:pPr>
      <w:r>
        <w:rPr>
          <w:rFonts w:hint="eastAsia"/>
        </w:rPr>
        <w:t>综上所述，公司的知识库已建立并有效运行着一套 “制度为纲、平台为器、流程为脉、考核为驱” 的成熟管理体系。该体系不仅完全符合《知识库管理制度》的规范要求，更通过2025年度的KPI数据（月度新增知识条目持续达标 与 问题转知识比率稳定在90%以上）证明了其卓越的运行效能。知识库已成为公司提升运维服务质量、保障客户满意度和构建核心竞争力的重要无形资产与战略工具。</w:t>
      </w:r>
    </w:p>
    <w:sectPr>
      <w:headerReference r:id="rId5" w:type="default"/>
      <w:footerReference r:id="rId6" w:type="default"/>
      <w:pgSz w:w="11906" w:h="16839"/>
      <w:pgMar w:top="1122" w:right="1581" w:bottom="1306" w:left="1580" w:header="597" w:footer="113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B581E">
    <w:pPr>
      <w:spacing w:line="182" w:lineRule="auto"/>
      <w:ind w:left="4332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365F7">
    <w:pPr>
      <w:pStyle w:val="15"/>
      <w:pBdr>
        <w:bottom w:val="single" w:color="auto" w:sz="4" w:space="1"/>
      </w:pBdr>
      <w:jc w:val="right"/>
      <w:rPr>
        <w:b/>
        <w:bCs/>
      </w:rPr>
    </w:pPr>
    <w:r>
      <w:rPr>
        <w:rFonts w:ascii="宋体" w:hAnsi="宋体" w:eastAsia="宋体" w:cs="宋体"/>
        <w:b/>
        <w:bCs/>
        <w:sz w:val="20"/>
        <w:szCs w:val="20"/>
      </w:rPr>
      <w:t>SciWell</w:t>
    </w:r>
    <w:r>
      <w:rPr>
        <w:rFonts w:ascii="宋体" w:hAnsi="宋体" w:eastAsia="宋体" w:cs="宋体"/>
        <w:b/>
        <w:bCs/>
        <w:spacing w:val="10"/>
        <w:sz w:val="20"/>
        <w:szCs w:val="20"/>
      </w:rPr>
      <w:t>-</w:t>
    </w:r>
    <w:r>
      <w:rPr>
        <w:rFonts w:ascii="宋体" w:hAnsi="宋体" w:eastAsia="宋体" w:cs="宋体"/>
        <w:b/>
        <w:bCs/>
        <w:sz w:val="20"/>
        <w:szCs w:val="20"/>
      </w:rPr>
      <w:t>ITSS</w:t>
    </w:r>
    <w:r>
      <w:rPr>
        <w:rFonts w:ascii="宋体" w:hAnsi="宋体" w:eastAsia="宋体" w:cs="宋体"/>
        <w:b/>
        <w:bCs/>
        <w:spacing w:val="10"/>
        <w:sz w:val="20"/>
        <w:szCs w:val="20"/>
      </w:rPr>
      <w:t>-</w:t>
    </w:r>
    <w:r>
      <w:rPr>
        <w:rFonts w:ascii="宋体" w:hAnsi="宋体" w:eastAsia="宋体" w:cs="宋体"/>
        <w:b/>
        <w:bCs/>
        <w:sz w:val="20"/>
        <w:szCs w:val="20"/>
      </w:rPr>
      <w:t>YW</w:t>
    </w:r>
    <w:r>
      <w:rPr>
        <w:rFonts w:ascii="宋体" w:hAnsi="宋体" w:eastAsia="宋体" w:cs="宋体"/>
        <w:b/>
        <w:bCs/>
        <w:spacing w:val="10"/>
        <w:sz w:val="20"/>
        <w:szCs w:val="20"/>
      </w:rPr>
      <w:t>-1</w:t>
    </w:r>
    <w:r>
      <w:rPr>
        <w:rFonts w:hint="eastAsia" w:ascii="宋体" w:hAnsi="宋体" w:cs="宋体"/>
        <w:b/>
        <w:bCs/>
        <w:spacing w:val="10"/>
        <w:sz w:val="20"/>
        <w:szCs w:val="20"/>
        <w:lang w:val="en-US" w:eastAsia="zh-CN"/>
      </w:rPr>
      <w:t>3</w:t>
    </w:r>
    <w:r>
      <w:rPr>
        <w:rFonts w:ascii="宋体" w:hAnsi="宋体" w:eastAsia="宋体" w:cs="宋体"/>
        <w:b/>
        <w:bCs/>
        <w:spacing w:val="10"/>
        <w:sz w:val="20"/>
        <w:szCs w:val="20"/>
      </w:rPr>
      <w:t>-0</w:t>
    </w:r>
    <w:r>
      <w:rPr>
        <w:rFonts w:hint="eastAsia" w:ascii="宋体" w:hAnsi="宋体" w:eastAsia="宋体" w:cs="宋体"/>
        <w:b/>
        <w:bCs/>
        <w:spacing w:val="10"/>
        <w:sz w:val="20"/>
        <w:szCs w:val="20"/>
        <w:lang w:val="en-US" w:eastAsia="zh-CN"/>
      </w:rPr>
      <w:t>2</w:t>
    </w:r>
    <w:r>
      <w:rPr>
        <w:rFonts w:hint="eastAsia" w:ascii="宋体" w:hAnsi="宋体" w:cs="宋体"/>
        <w:b/>
        <w:bCs/>
        <w:spacing w:val="10"/>
        <w:sz w:val="20"/>
        <w:szCs w:val="20"/>
        <w:lang w:val="en-US" w:eastAsia="zh-CN"/>
      </w:rPr>
      <w:t>知识库</w:t>
    </w:r>
    <w:r>
      <w:rPr>
        <w:rFonts w:hint="eastAsia" w:ascii="宋体" w:hAnsi="宋体" w:eastAsia="宋体" w:cs="宋体"/>
        <w:b/>
        <w:bCs/>
        <w:spacing w:val="10"/>
        <w:sz w:val="20"/>
        <w:szCs w:val="20"/>
        <w:lang w:val="en-US" w:eastAsia="zh-CN"/>
      </w:rPr>
      <w:t>应用情况说明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524114"/>
    <w:rsid w:val="06F2558C"/>
    <w:rsid w:val="0AA200BB"/>
    <w:rsid w:val="0CC50E80"/>
    <w:rsid w:val="0D7F5FE1"/>
    <w:rsid w:val="0DDC125D"/>
    <w:rsid w:val="10525806"/>
    <w:rsid w:val="122344D0"/>
    <w:rsid w:val="16301A66"/>
    <w:rsid w:val="17173305"/>
    <w:rsid w:val="17264D1A"/>
    <w:rsid w:val="17AA23CB"/>
    <w:rsid w:val="1C27223D"/>
    <w:rsid w:val="1CED6FE2"/>
    <w:rsid w:val="1D717990"/>
    <w:rsid w:val="1DB46FBD"/>
    <w:rsid w:val="2149055F"/>
    <w:rsid w:val="2965371A"/>
    <w:rsid w:val="2A9A596C"/>
    <w:rsid w:val="2B911481"/>
    <w:rsid w:val="2DB9081B"/>
    <w:rsid w:val="325D030E"/>
    <w:rsid w:val="33C817B8"/>
    <w:rsid w:val="34D523DE"/>
    <w:rsid w:val="387C7014"/>
    <w:rsid w:val="39101C78"/>
    <w:rsid w:val="39A432FD"/>
    <w:rsid w:val="3C575DCE"/>
    <w:rsid w:val="3DC94AAA"/>
    <w:rsid w:val="3E651FC5"/>
    <w:rsid w:val="3F62300E"/>
    <w:rsid w:val="3F6E5909"/>
    <w:rsid w:val="43BF4817"/>
    <w:rsid w:val="4633723B"/>
    <w:rsid w:val="46EB28D0"/>
    <w:rsid w:val="47F02CCF"/>
    <w:rsid w:val="4B5F07FC"/>
    <w:rsid w:val="4C7C718B"/>
    <w:rsid w:val="4CEA2347"/>
    <w:rsid w:val="510D5F69"/>
    <w:rsid w:val="57B36157"/>
    <w:rsid w:val="59AA17DC"/>
    <w:rsid w:val="5AC4067B"/>
    <w:rsid w:val="5BAD0E4E"/>
    <w:rsid w:val="5CB14C2F"/>
    <w:rsid w:val="5FFC2424"/>
    <w:rsid w:val="610A2B60"/>
    <w:rsid w:val="62033E14"/>
    <w:rsid w:val="62D277D9"/>
    <w:rsid w:val="648F1CFA"/>
    <w:rsid w:val="64AB0E2F"/>
    <w:rsid w:val="64B741AD"/>
    <w:rsid w:val="658630FD"/>
    <w:rsid w:val="66B27E30"/>
    <w:rsid w:val="6DBE0F5A"/>
    <w:rsid w:val="6E8977BA"/>
    <w:rsid w:val="6F2A2D4B"/>
    <w:rsid w:val="6F337EE5"/>
    <w:rsid w:val="708A70A4"/>
    <w:rsid w:val="71ED1E0E"/>
    <w:rsid w:val="7238577F"/>
    <w:rsid w:val="727F33AE"/>
    <w:rsid w:val="74885745"/>
    <w:rsid w:val="75F23E97"/>
    <w:rsid w:val="79404F19"/>
    <w:rsid w:val="7ABD0F17"/>
    <w:rsid w:val="7EA128FE"/>
    <w:rsid w:val="7FB01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534</Words>
  <Characters>611</Characters>
  <TotalTime>17</TotalTime>
  <ScaleCrop>false</ScaleCrop>
  <LinksUpToDate>false</LinksUpToDate>
  <CharactersWithSpaces>637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2022-12-14T14:45:00Z</dcterms:created>
  <dc:creator>CN=刘媛媛/O=CNCIS</dc:creator>
  <cp:lastModifiedBy>郝宇</cp:lastModifiedBy>
  <dcterms:modified xsi:type="dcterms:W3CDTF">2025-11-04T16:11:25Z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2025-10-31T06:30:08Z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12F340D4E8FC4953BABC2495C2C8C5CE_12</vt:lpwstr>
  </property>
</Properties>
</file>