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pPr>
        <w:pStyle w:val="a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运维服务能力管理制度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TJTY-ITSS-0301</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刘禹</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刘禹</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75207"/>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_Toc15713 </w:instrText>
          </w:r>
          <w:r>
            <w:fldChar w:fldCharType="separate"/>
          </w:r>
          <w:r>
            <w:rPr>
              <w:rFonts w:hint="default"/>
              <w:lang w:val="en-US" w:eastAsia="zh-CN"/>
            </w:rPr>
            <w:t>1. 目的</w:t>
          </w:r>
          <w:r>
            <w:tab/>
          </w:r>
          <w:r>
            <w:fldChar w:fldCharType="begin"/>
          </w:r>
          <w:r>
            <w:instrText xml:space="preserve"> PAGEREF _Toc15713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_Toc16200 </w:instrText>
          </w:r>
          <w:r>
            <w:fldChar w:fldCharType="separate"/>
          </w:r>
          <w:r>
            <w:rPr>
              <w:rFonts w:hint="default"/>
              <w:lang w:val="en-US" w:eastAsia="zh-CN"/>
            </w:rPr>
            <w:t>2. 范围</w:t>
          </w:r>
          <w:r>
            <w:tab/>
          </w:r>
          <w:r>
            <w:fldChar w:fldCharType="begin"/>
          </w:r>
          <w:r>
            <w:instrText xml:space="preserve"> PAGEREF _Toc16200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_Toc27611 </w:instrText>
          </w:r>
          <w:r>
            <w:fldChar w:fldCharType="separate"/>
          </w:r>
          <w:r>
            <w:rPr>
              <w:rFonts w:hint="default"/>
              <w:lang w:val="en-US" w:eastAsia="zh-CN"/>
            </w:rPr>
            <w:t>3. 角色和职责</w:t>
          </w:r>
          <w:r>
            <w:tab/>
          </w:r>
          <w:r>
            <w:fldChar w:fldCharType="begin"/>
          </w:r>
          <w:r>
            <w:instrText xml:space="preserve"> PAGEREF _Toc27611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_Toc13759 </w:instrText>
          </w:r>
          <w:r>
            <w:fldChar w:fldCharType="separate"/>
          </w:r>
          <w:r>
            <w:rPr>
              <w:rFonts w:hint="default"/>
              <w:lang w:val="en-US" w:eastAsia="zh-CN"/>
            </w:rPr>
            <w:t>3.1. 管理层</w:t>
          </w:r>
          <w:r>
            <w:tab/>
          </w:r>
          <w:r>
            <w:fldChar w:fldCharType="begin"/>
          </w:r>
          <w:r>
            <w:instrText xml:space="preserve"> PAGEREF _Toc13759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_Toc30192 </w:instrText>
          </w:r>
          <w:r>
            <w:fldChar w:fldCharType="separate"/>
          </w:r>
          <w:r>
            <w:rPr>
              <w:rFonts w:hint="default"/>
              <w:lang w:val="en-US" w:eastAsia="zh-CN"/>
            </w:rPr>
            <w:t>3.2. 运维部</w:t>
          </w:r>
          <w:r>
            <w:tab/>
          </w:r>
          <w:r>
            <w:fldChar w:fldCharType="begin"/>
          </w:r>
          <w:r>
            <w:instrText xml:space="preserve"> PAGEREF _Toc30192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_Toc30130 </w:instrText>
          </w:r>
          <w:r>
            <w:fldChar w:fldCharType="separate"/>
          </w:r>
          <w:r>
            <w:rPr>
              <w:rFonts w:hint="default"/>
              <w:lang w:val="en-US" w:eastAsia="zh-CN"/>
            </w:rPr>
            <w:t>3.3. 技术中心</w:t>
          </w:r>
          <w:r>
            <w:tab/>
          </w:r>
          <w:r>
            <w:fldChar w:fldCharType="begin"/>
          </w:r>
          <w:r>
            <w:instrText xml:space="preserve"> PAGEREF _Toc30130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_Toc10136 </w:instrText>
          </w:r>
          <w:r>
            <w:fldChar w:fldCharType="separate"/>
          </w:r>
          <w:r>
            <w:rPr>
              <w:rFonts w:hint="default"/>
              <w:lang w:val="en-US" w:eastAsia="zh-CN"/>
            </w:rPr>
            <w:t>3.4. 质量部</w:t>
          </w:r>
          <w:r>
            <w:tab/>
          </w:r>
          <w:r>
            <w:fldChar w:fldCharType="begin"/>
          </w:r>
          <w:r>
            <w:instrText xml:space="preserve"> PAGEREF _Toc10136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_Toc26578 </w:instrText>
          </w:r>
          <w:r>
            <w:fldChar w:fldCharType="separate"/>
          </w:r>
          <w:r>
            <w:rPr>
              <w:rFonts w:hint="default"/>
              <w:lang w:val="en-US" w:eastAsia="zh-CN"/>
            </w:rPr>
            <w:t>3.5. 综合管理部</w:t>
          </w:r>
          <w:r>
            <w:tab/>
          </w:r>
          <w:r>
            <w:fldChar w:fldCharType="begin"/>
          </w:r>
          <w:r>
            <w:instrText xml:space="preserve"> PAGEREF _Toc26578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_Toc10509 </w:instrText>
          </w:r>
          <w:r>
            <w:fldChar w:fldCharType="separate"/>
          </w:r>
          <w:r>
            <w:rPr>
              <w:rFonts w:hint="default"/>
              <w:lang w:val="en-US" w:eastAsia="zh-CN"/>
            </w:rPr>
            <w:t>3.6. 采购部</w:t>
          </w:r>
          <w:r>
            <w:tab/>
          </w:r>
          <w:r>
            <w:fldChar w:fldCharType="begin"/>
          </w:r>
          <w:r>
            <w:instrText xml:space="preserve"> PAGEREF _Toc10509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_Toc5268 </w:instrText>
          </w:r>
          <w:r>
            <w:fldChar w:fldCharType="separate"/>
          </w:r>
          <w:r>
            <w:rPr>
              <w:rFonts w:hint="default"/>
              <w:lang w:val="en-US" w:eastAsia="zh-CN"/>
            </w:rPr>
            <w:t>3.7. 应急管理部</w:t>
          </w:r>
          <w:r>
            <w:tab/>
          </w:r>
          <w:r>
            <w:fldChar w:fldCharType="begin"/>
          </w:r>
          <w:r>
            <w:instrText xml:space="preserve"> PAGEREF _Toc5268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_Toc25994 </w:instrText>
          </w:r>
          <w:r>
            <w:fldChar w:fldCharType="separate"/>
          </w:r>
          <w:r>
            <w:rPr>
              <w:rFonts w:hint="default"/>
              <w:lang w:val="en-US" w:eastAsia="zh-CN"/>
            </w:rPr>
            <w:t>4. 具体内容</w:t>
          </w:r>
          <w:r>
            <w:tab/>
          </w:r>
          <w:r>
            <w:fldChar w:fldCharType="begin"/>
          </w:r>
          <w:r>
            <w:instrText xml:space="preserve"> PAGEREF _Toc25994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_Toc5235 </w:instrText>
          </w:r>
          <w:r>
            <w:fldChar w:fldCharType="separate"/>
          </w:r>
          <w:r>
            <w:rPr>
              <w:rFonts w:hint="default"/>
              <w:lang w:val="en-US" w:eastAsia="zh-CN"/>
            </w:rPr>
            <w:t>4.1. 能力策划流程图</w:t>
          </w:r>
          <w:r>
            <w:tab/>
          </w:r>
          <w:r>
            <w:fldChar w:fldCharType="begin"/>
          </w:r>
          <w:r>
            <w:instrText xml:space="preserve"> PAGEREF _Toc5235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_Toc19721 </w:instrText>
          </w:r>
          <w:r>
            <w:fldChar w:fldCharType="separate"/>
          </w:r>
          <w:r>
            <w:rPr>
              <w:rFonts w:hint="default"/>
              <w:lang w:val="en-US" w:eastAsia="zh-CN"/>
            </w:rPr>
            <w:t>4.2. 能力策划</w:t>
          </w:r>
          <w:r>
            <w:tab/>
          </w:r>
          <w:r>
            <w:fldChar w:fldCharType="begin"/>
          </w:r>
          <w:r>
            <w:instrText xml:space="preserve"> PAGEREF _Toc19721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_Toc4936 </w:instrText>
          </w:r>
          <w:r>
            <w:fldChar w:fldCharType="separate"/>
          </w:r>
          <w:r>
            <w:rPr>
              <w:rFonts w:hint="default"/>
              <w:lang w:val="en-US" w:eastAsia="zh-CN"/>
            </w:rPr>
            <w:t>4.3. 审批</w:t>
          </w:r>
          <w:r>
            <w:tab/>
          </w:r>
          <w:r>
            <w:fldChar w:fldCharType="begin"/>
          </w:r>
          <w:r>
            <w:instrText xml:space="preserve"> PAGEREF _Toc4936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_Toc28854 </w:instrText>
          </w:r>
          <w:r>
            <w:fldChar w:fldCharType="separate"/>
          </w:r>
          <w:r>
            <w:rPr>
              <w:rFonts w:hint="default"/>
              <w:lang w:val="en-US" w:eastAsia="zh-CN"/>
            </w:rPr>
            <w:t>4.4. 执行</w:t>
          </w:r>
          <w:r>
            <w:tab/>
          </w:r>
          <w:r>
            <w:fldChar w:fldCharType="begin"/>
          </w:r>
          <w:r>
            <w:instrText xml:space="preserve"> PAGEREF _Toc28854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_Toc1888 </w:instrText>
          </w:r>
          <w:r>
            <w:fldChar w:fldCharType="separate"/>
          </w:r>
          <w:r>
            <w:rPr>
              <w:rFonts w:hint="default"/>
              <w:lang w:val="en-US" w:eastAsia="zh-CN"/>
            </w:rPr>
            <w:t>4.5. 监督</w:t>
          </w:r>
          <w:r>
            <w:tab/>
          </w:r>
          <w:r>
            <w:fldChar w:fldCharType="begin"/>
          </w:r>
          <w:r>
            <w:instrText xml:space="preserve"> PAGEREF _Toc1888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_Toc14386 </w:instrText>
          </w:r>
          <w:r>
            <w:fldChar w:fldCharType="separate"/>
          </w:r>
          <w:r>
            <w:rPr>
              <w:rFonts w:hint="default"/>
              <w:lang w:val="en-US" w:eastAsia="zh-CN"/>
            </w:rPr>
            <w:t>4.6. 年度总结</w:t>
          </w:r>
          <w:r>
            <w:tab/>
          </w:r>
          <w:r>
            <w:fldChar w:fldCharType="begin"/>
          </w:r>
          <w:r>
            <w:instrText xml:space="preserve"> PAGEREF _Toc14386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_Toc567 </w:instrText>
          </w:r>
          <w:r>
            <w:fldChar w:fldCharType="separate"/>
          </w:r>
          <w:r>
            <w:rPr>
              <w:rFonts w:hint="default"/>
              <w:lang w:val="en-US" w:eastAsia="zh-CN"/>
            </w:rPr>
            <w:t>4.7. 改进</w:t>
          </w:r>
          <w:r>
            <w:tab/>
          </w:r>
          <w:r>
            <w:fldChar w:fldCharType="begin"/>
          </w:r>
          <w:r>
            <w:instrText xml:space="preserve"> PAGEREF _Toc567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_Toc7659 </w:instrText>
          </w:r>
          <w:r>
            <w:fldChar w:fldCharType="separate"/>
          </w:r>
          <w:r>
            <w:rPr>
              <w:rFonts w:hint="default"/>
              <w:lang w:val="en-US" w:eastAsia="zh-CN"/>
            </w:rPr>
            <w:t>4.8. 运维服务管理体系的维护</w:t>
          </w:r>
          <w:r>
            <w:tab/>
          </w:r>
          <w:r>
            <w:fldChar w:fldCharType="begin"/>
          </w:r>
          <w:r>
            <w:instrText xml:space="preserve"> PAGEREF _Toc7659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_Toc28664 </w:instrText>
          </w:r>
          <w:r>
            <w:fldChar w:fldCharType="separate"/>
          </w:r>
          <w:r>
            <w:rPr>
              <w:rFonts w:hint="default"/>
              <w:lang w:val="en-US" w:eastAsia="zh-CN"/>
            </w:rPr>
            <w:t xml:space="preserve">5. </w:t>
          </w:r>
          <w:r>
            <w:rPr>
              <w:rFonts w:hint="eastAsia"/>
              <w:lang w:val="en-US" w:eastAsia="zh-CN"/>
            </w:rPr>
            <w:t>能力管理细则</w:t>
          </w:r>
          <w:r>
            <w:tab/>
          </w:r>
          <w:r>
            <w:fldChar w:fldCharType="begin"/>
          </w:r>
          <w:r>
            <w:instrText xml:space="preserve"> PAGEREF _Toc28664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_Toc4866 </w:instrText>
          </w:r>
          <w:r>
            <w:fldChar w:fldCharType="separate"/>
          </w:r>
          <w:r>
            <w:rPr>
              <w:rFonts w:hint="default"/>
              <w:lang w:val="en-US" w:eastAsia="zh-CN"/>
            </w:rPr>
            <w:t>5.1. 人员管理</w:t>
          </w:r>
          <w:r>
            <w:tab/>
          </w:r>
          <w:r>
            <w:fldChar w:fldCharType="begin"/>
          </w:r>
          <w:r>
            <w:instrText xml:space="preserve"> PAGEREF _Toc4866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_Toc1089 </w:instrText>
          </w:r>
          <w:r>
            <w:fldChar w:fldCharType="separate"/>
          </w:r>
          <w:r>
            <w:rPr>
              <w:rFonts w:hint="default"/>
              <w:lang w:val="en-US" w:eastAsia="zh-CN"/>
            </w:rPr>
            <w:t>5.2. 资源管理</w:t>
          </w:r>
          <w:r>
            <w:tab/>
          </w:r>
          <w:r>
            <w:fldChar w:fldCharType="begin"/>
          </w:r>
          <w:r>
            <w:instrText xml:space="preserve"> PAGEREF _Toc1089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_Toc28573 </w:instrText>
          </w:r>
          <w:r>
            <w:fldChar w:fldCharType="separate"/>
          </w:r>
          <w:r>
            <w:rPr>
              <w:rFonts w:hint="default"/>
              <w:lang w:val="en-US" w:eastAsia="zh-CN"/>
            </w:rPr>
            <w:t>5.2.1. 知识库管理</w:t>
          </w:r>
          <w:r>
            <w:tab/>
          </w:r>
          <w:r>
            <w:fldChar w:fldCharType="begin"/>
          </w:r>
          <w:r>
            <w:instrText xml:space="preserve"> PAGEREF _Toc28573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_Toc17845 </w:instrText>
          </w:r>
          <w:r>
            <w:fldChar w:fldCharType="separate"/>
          </w:r>
          <w:r>
            <w:rPr>
              <w:rFonts w:hint="default"/>
              <w:lang w:val="en-US" w:eastAsia="zh-CN"/>
            </w:rPr>
            <w:t>5.2.2. 运维工具管理</w:t>
          </w:r>
          <w:r>
            <w:tab/>
          </w:r>
          <w:r>
            <w:fldChar w:fldCharType="begin"/>
          </w:r>
          <w:r>
            <w:instrText xml:space="preserve"> PAGEREF _Toc17845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_Toc14999 </w:instrText>
          </w:r>
          <w:r>
            <w:fldChar w:fldCharType="separate"/>
          </w:r>
          <w:r>
            <w:rPr>
              <w:rFonts w:hint="default"/>
              <w:lang w:val="en-US" w:eastAsia="zh-CN"/>
            </w:rPr>
            <w:t>5.2.3. 服务台管理</w:t>
          </w:r>
          <w:r>
            <w:tab/>
          </w:r>
          <w:r>
            <w:fldChar w:fldCharType="begin"/>
          </w:r>
          <w:r>
            <w:instrText xml:space="preserve"> PAGEREF _Toc14999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_Toc30559 </w:instrText>
          </w:r>
          <w:r>
            <w:fldChar w:fldCharType="separate"/>
          </w:r>
          <w:r>
            <w:rPr>
              <w:rFonts w:hint="default"/>
              <w:lang w:val="en-US" w:eastAsia="zh-CN"/>
            </w:rPr>
            <w:t>5.2.4. 备件库管理</w:t>
          </w:r>
          <w:r>
            <w:tab/>
          </w:r>
          <w:r>
            <w:fldChar w:fldCharType="begin"/>
          </w:r>
          <w:r>
            <w:instrText xml:space="preserve"> PAGEREF _Toc30559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_Toc11248 </w:instrText>
          </w:r>
          <w:r>
            <w:fldChar w:fldCharType="separate"/>
          </w:r>
          <w:r>
            <w:rPr>
              <w:rFonts w:hint="default"/>
              <w:lang w:val="en-US" w:eastAsia="zh-CN"/>
            </w:rPr>
            <w:t>5.3. 技术管理</w:t>
          </w:r>
          <w:r>
            <w:tab/>
          </w:r>
          <w:r>
            <w:fldChar w:fldCharType="begin"/>
          </w:r>
          <w:r>
            <w:instrText xml:space="preserve"> PAGEREF _Toc11248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_Toc22007 </w:instrText>
          </w:r>
          <w:r>
            <w:fldChar w:fldCharType="separate"/>
          </w:r>
          <w:r>
            <w:rPr>
              <w:rFonts w:hint="default"/>
              <w:lang w:val="en-US" w:eastAsia="zh-CN"/>
            </w:rPr>
            <w:t>5.3.1. 运维工具研发</w:t>
          </w:r>
          <w:r>
            <w:tab/>
          </w:r>
          <w:r>
            <w:fldChar w:fldCharType="begin"/>
          </w:r>
          <w:r>
            <w:instrText xml:space="preserve"> PAGEREF _Toc22007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_Toc10083 </w:instrText>
          </w:r>
          <w:r>
            <w:fldChar w:fldCharType="separate"/>
          </w:r>
          <w:r>
            <w:rPr>
              <w:rFonts w:hint="default"/>
              <w:lang w:val="en-US" w:eastAsia="zh-CN"/>
            </w:rPr>
            <w:t>5.3.2. 运维手册研发</w:t>
          </w:r>
          <w:r>
            <w:tab/>
          </w:r>
          <w:r>
            <w:fldChar w:fldCharType="begin"/>
          </w:r>
          <w:r>
            <w:instrText xml:space="preserve"> PAGEREF _Toc10083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_Toc4230 </w:instrText>
          </w:r>
          <w:r>
            <w:fldChar w:fldCharType="separate"/>
          </w:r>
          <w:r>
            <w:rPr>
              <w:rFonts w:hint="default"/>
              <w:lang w:val="en-US" w:eastAsia="zh-CN"/>
            </w:rPr>
            <w:t>5.3.3. 新技术研发</w:t>
          </w:r>
          <w:r>
            <w:tab/>
          </w:r>
          <w:r>
            <w:fldChar w:fldCharType="begin"/>
          </w:r>
          <w:r>
            <w:instrText xml:space="preserve"> PAGEREF _Toc4230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_Toc6418 </w:instrText>
          </w:r>
          <w:r>
            <w:fldChar w:fldCharType="separate"/>
          </w:r>
          <w:r>
            <w:rPr>
              <w:rFonts w:hint="default"/>
              <w:lang w:val="en-US" w:eastAsia="zh-CN"/>
            </w:rPr>
            <w:t>5.3.4. 运维工具应用情况</w:t>
          </w:r>
          <w:r>
            <w:tab/>
          </w:r>
          <w:r>
            <w:fldChar w:fldCharType="begin"/>
          </w:r>
          <w:r>
            <w:instrText xml:space="preserve"> PAGEREF _Toc6418 \h </w:instrText>
          </w:r>
          <w:r>
            <w:fldChar w:fldCharType="separate"/>
          </w:r>
          <w:r>
            <w:t>15</w:t>
          </w:r>
          <w:r>
            <w:fldChar w:fldCharType="end"/>
          </w:r>
          <w:r>
            <w:fldChar w:fldCharType="end"/>
          </w:r>
        </w:p>
        <w:p>
          <w:pPr>
            <w:pStyle w:val="TOC2"/>
            <w:tabs>
              <w:tab w:val="right" w:leader="dot" w:pos="8306"/>
            </w:tabs>
          </w:pPr>
          <w:r>
            <w:fldChar w:fldCharType="begin"/>
          </w:r>
          <w:r>
            <w:instrText xml:space="preserve"> HYPERLINK \l _Toc24323 </w:instrText>
          </w:r>
          <w:r>
            <w:fldChar w:fldCharType="separate"/>
          </w:r>
          <w:r>
            <w:rPr>
              <w:rFonts w:hint="default"/>
              <w:lang w:val="en-US" w:eastAsia="zh-CN"/>
            </w:rPr>
            <w:t>5.4. 过程管理</w:t>
          </w:r>
          <w:r>
            <w:tab/>
          </w:r>
          <w:r>
            <w:fldChar w:fldCharType="begin"/>
          </w:r>
          <w:r>
            <w:instrText xml:space="preserve"> PAGEREF _Toc24323 \h </w:instrText>
          </w:r>
          <w:r>
            <w:fldChar w:fldCharType="separate"/>
          </w:r>
          <w:r>
            <w:t>16</w:t>
          </w:r>
          <w:r>
            <w:fldChar w:fldCharType="end"/>
          </w:r>
          <w:r>
            <w:fldChar w:fldCharType="end"/>
          </w:r>
        </w:p>
        <w:p>
          <w:pPr>
            <w:pStyle w:val="TOC2"/>
            <w:tabs>
              <w:tab w:val="right" w:leader="dot" w:pos="8306"/>
            </w:tabs>
          </w:pPr>
          <w:r>
            <w:fldChar w:fldCharType="begin"/>
          </w:r>
          <w:r>
            <w:instrText xml:space="preserve"> HYPERLINK \l _Toc11301 </w:instrText>
          </w:r>
          <w:r>
            <w:fldChar w:fldCharType="separate"/>
          </w:r>
          <w:r>
            <w:rPr>
              <w:rFonts w:hint="default"/>
              <w:lang w:val="en-US" w:eastAsia="zh-CN"/>
            </w:rPr>
            <w:t xml:space="preserve">5.5. </w:t>
          </w:r>
          <w:r>
            <w:rPr>
              <w:rFonts w:hint="eastAsia"/>
              <w:lang w:val="en-US" w:eastAsia="zh-CN"/>
            </w:rPr>
            <w:t>交付能力管理</w:t>
          </w:r>
          <w:r>
            <w:tab/>
          </w:r>
          <w:r>
            <w:fldChar w:fldCharType="begin"/>
          </w:r>
          <w:r>
            <w:instrText xml:space="preserve"> PAGEREF _Toc11301 \h </w:instrText>
          </w:r>
          <w:r>
            <w:fldChar w:fldCharType="separate"/>
          </w:r>
          <w:r>
            <w:t>17</w:t>
          </w:r>
          <w:r>
            <w:fldChar w:fldCharType="end"/>
          </w:r>
          <w:r>
            <w:fldChar w:fldCharType="end"/>
          </w:r>
        </w:p>
        <w:p>
          <w:pPr>
            <w:pStyle w:val="TOC2"/>
            <w:tabs>
              <w:tab w:val="right" w:leader="dot" w:pos="8306"/>
            </w:tabs>
          </w:pPr>
          <w:r>
            <w:fldChar w:fldCharType="begin"/>
          </w:r>
          <w:r>
            <w:instrText xml:space="preserve"> HYPERLINK \l _Toc28367 </w:instrText>
          </w:r>
          <w:r>
            <w:fldChar w:fldCharType="separate"/>
          </w:r>
          <w:r>
            <w:rPr>
              <w:rFonts w:hint="default"/>
              <w:lang w:val="en-US" w:eastAsia="zh-CN"/>
            </w:rPr>
            <w:t xml:space="preserve">5.6. </w:t>
          </w:r>
          <w:r>
            <w:rPr>
              <w:rFonts w:hint="eastAsia"/>
              <w:lang w:val="en-US" w:eastAsia="zh-CN"/>
            </w:rPr>
            <w:t>应急能力管理</w:t>
          </w:r>
          <w:r>
            <w:tab/>
          </w:r>
          <w:r>
            <w:fldChar w:fldCharType="begin"/>
          </w:r>
          <w:r>
            <w:instrText xml:space="preserve"> PAGEREF _Toc28367 \h </w:instrText>
          </w:r>
          <w:r>
            <w:fldChar w:fldCharType="separate"/>
          </w:r>
          <w:r>
            <w:t>18</w:t>
          </w:r>
          <w:r>
            <w:fldChar w:fldCharType="end"/>
          </w:r>
          <w:r>
            <w:fldChar w:fldCharType="end"/>
          </w:r>
        </w:p>
        <w:p>
          <w:pPr>
            <w:pStyle w:val="TOC1"/>
            <w:tabs>
              <w:tab w:val="right" w:leader="dot" w:pos="8306"/>
            </w:tabs>
          </w:pPr>
          <w:r>
            <w:fldChar w:fldCharType="begin"/>
          </w:r>
          <w:r>
            <w:instrText xml:space="preserve"> HYPERLINK \l _Toc21454 </w:instrText>
          </w:r>
          <w:r>
            <w:fldChar w:fldCharType="separate"/>
          </w:r>
          <w:r>
            <w:rPr>
              <w:rFonts w:hint="default"/>
              <w:lang w:val="en-US" w:eastAsia="zh-CN"/>
            </w:rPr>
            <w:t>6. 过程质量控制</w:t>
          </w:r>
          <w:r>
            <w:tab/>
          </w:r>
          <w:r>
            <w:fldChar w:fldCharType="begin"/>
          </w:r>
          <w:r>
            <w:instrText xml:space="preserve"> PAGEREF _Toc21454 \h </w:instrText>
          </w:r>
          <w:r>
            <w:fldChar w:fldCharType="separate"/>
          </w:r>
          <w:r>
            <w:t>19</w:t>
          </w:r>
          <w:r>
            <w:fldChar w:fldCharType="end"/>
          </w:r>
          <w:r>
            <w:fldChar w:fldCharType="end"/>
          </w:r>
        </w:p>
        <w:p>
          <w:pPr>
            <w:pStyle w:val="TOC1"/>
            <w:tabs>
              <w:tab w:val="right" w:leader="dot" w:pos="8306"/>
            </w:tabs>
          </w:pPr>
          <w:r>
            <w:fldChar w:fldCharType="begin"/>
          </w:r>
          <w:r>
            <w:instrText xml:space="preserve"> HYPERLINK \l _Toc23627 </w:instrText>
          </w:r>
          <w:r>
            <w:fldChar w:fldCharType="separate"/>
          </w:r>
          <w:r>
            <w:rPr>
              <w:rFonts w:hint="default"/>
              <w:lang w:val="en-US" w:eastAsia="zh-CN"/>
            </w:rPr>
            <w:t>7. 能力计划遵循的原则</w:t>
          </w:r>
          <w:r>
            <w:tab/>
          </w:r>
          <w:r>
            <w:fldChar w:fldCharType="begin"/>
          </w:r>
          <w:r>
            <w:instrText xml:space="preserve"> PAGEREF _Toc23627 \h </w:instrText>
          </w:r>
          <w:r>
            <w:fldChar w:fldCharType="separate"/>
          </w:r>
          <w:r>
            <w:t>21</w:t>
          </w:r>
          <w:r>
            <w:fldChar w:fldCharType="end"/>
          </w:r>
          <w:r>
            <w:fldChar w:fldCharType="end"/>
          </w:r>
        </w:p>
        <w:p>
          <w:pPr>
            <w:pStyle w:val="TOC1"/>
            <w:tabs>
              <w:tab w:val="right" w:leader="dot" w:pos="8306"/>
            </w:tabs>
          </w:pPr>
          <w:r>
            <w:fldChar w:fldCharType="begin"/>
          </w:r>
          <w:r>
            <w:instrText xml:space="preserve"> HYPERLINK \l _Toc8472 </w:instrText>
          </w:r>
          <w:r>
            <w:fldChar w:fldCharType="separate"/>
          </w:r>
          <w:r>
            <w:rPr>
              <w:rFonts w:hint="default"/>
              <w:lang w:val="en-US" w:eastAsia="zh-CN"/>
            </w:rPr>
            <w:t>8. 输入</w:t>
          </w:r>
          <w:r>
            <w:tab/>
          </w:r>
          <w:r>
            <w:fldChar w:fldCharType="begin"/>
          </w:r>
          <w:r>
            <w:instrText xml:space="preserve"> PAGEREF _Toc8472 \h </w:instrText>
          </w:r>
          <w:r>
            <w:fldChar w:fldCharType="separate"/>
          </w:r>
          <w:r>
            <w:t>21</w:t>
          </w:r>
          <w:r>
            <w:fldChar w:fldCharType="end"/>
          </w:r>
          <w:r>
            <w:fldChar w:fldCharType="end"/>
          </w:r>
        </w:p>
        <w:p>
          <w:r>
            <w:fldChar w:fldCharType="end"/>
          </w:r>
        </w:p>
      </w:sdtContent>
    </w:sdt>
    <w:p>
      <w:pPr>
        <w:jc w:val="center"/>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_Toc501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运维手册类型表</w:t>
      </w:r>
      <w:r>
        <w:tab/>
      </w:r>
      <w:r>
        <w:fldChar w:fldCharType="begin"/>
      </w:r>
      <w:r>
        <w:instrText xml:space="preserve"> PAGEREF _Toc501 \h </w:instrText>
      </w:r>
      <w:r>
        <w:fldChar w:fldCharType="separate"/>
      </w:r>
      <w:r>
        <w:t>14</w:t>
      </w:r>
      <w:r>
        <w:fldChar w:fldCharType="end"/>
      </w:r>
      <w:r>
        <w:fldChar w:fldCharType="end"/>
      </w:r>
    </w:p>
    <w:p>
      <w:pPr>
        <w:pStyle w:val="TableofFigures"/>
        <w:tabs>
          <w:tab w:val="right" w:leader="dot" w:pos="8306"/>
        </w:tabs>
      </w:pPr>
      <w:r>
        <w:fldChar w:fldCharType="begin"/>
      </w:r>
      <w:r>
        <w:instrText xml:space="preserve"> HYPERLINK \l _Toc11977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过程质量控制流程说明</w:t>
      </w:r>
      <w:r>
        <w:tab/>
      </w:r>
      <w:r>
        <w:fldChar w:fldCharType="begin"/>
      </w:r>
      <w:r>
        <w:instrText xml:space="preserve"> PAGEREF _Toc11977 \h </w:instrText>
      </w:r>
      <w:r>
        <w:fldChar w:fldCharType="separate"/>
      </w:r>
      <w:r>
        <w:t>20</w:t>
      </w:r>
      <w:r>
        <w:fldChar w:fldCharType="end"/>
      </w:r>
      <w:r>
        <w:fldChar w:fldCharType="end"/>
      </w:r>
    </w:p>
    <w:p>
      <w:pPr>
        <w:jc w:val="center"/>
        <w:rPr>
          <w:rFonts w:eastAsia="宋体" w:hint="default"/>
          <w:lang w:val="en-US" w:eastAsia="zh-CN"/>
        </w:rPr>
      </w:pPr>
      <w:r>
        <w:fldChar w:fldCharType="end"/>
      </w:r>
      <w:r>
        <w:rPr>
          <w:rFonts w:hint="eastAsia"/>
          <w:lang w:val="en-US" w:eastAsia="zh-CN"/>
        </w:rPr>
        <w:t>图目录</w:t>
      </w:r>
    </w:p>
    <w:p>
      <w:pPr>
        <w:pStyle w:val="TableofFigures"/>
        <w:tabs>
          <w:tab w:val="right" w:leader="dot" w:pos="8306"/>
        </w:tabs>
      </w:pPr>
      <w:r>
        <w:fldChar w:fldCharType="begin"/>
      </w:r>
      <w:r>
        <w:instrText>TOC \h \c "图"</w:instrText>
      </w:r>
      <w:r>
        <w:fldChar w:fldCharType="separate"/>
      </w:r>
      <w:r>
        <w:fldChar w:fldCharType="begin"/>
      </w:r>
      <w:r>
        <w:instrText xml:space="preserve"> HYPERLINK \l _Toc4288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1 </w:t>
      </w:r>
      <w:r>
        <w:rPr>
          <w:rFonts w:hint="eastAsia"/>
          <w:lang w:val="en-US" w:eastAsia="zh-CN"/>
        </w:rPr>
        <w:t xml:space="preserve"> 能力策划流程图</w:t>
      </w:r>
      <w:r>
        <w:tab/>
      </w:r>
      <w:r>
        <w:fldChar w:fldCharType="begin"/>
      </w:r>
      <w:r>
        <w:instrText xml:space="preserve"> PAGEREF _Toc4288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_Toc15149 </w:instrText>
      </w:r>
      <w:r>
        <w:fldChar w:fldCharType="separate"/>
      </w:r>
      <w:r>
        <w:rPr>
          <w:rFonts w:hint="eastAsia"/>
          <w:lang w:val="en-US" w:eastAsia="zh-CN"/>
        </w:rPr>
        <w:t xml:space="preserve">图 </w:t>
      </w:r>
      <w:r>
        <w:rPr>
          <w:rFonts w:hint="default"/>
          <w:lang w:val="en-US" w:eastAsia="zh-CN"/>
        </w:rPr>
        <w:t>6</w:t>
      </w:r>
      <w:r>
        <w:rPr>
          <w:rFonts w:hint="eastAsia"/>
          <w:lang w:val="en-US" w:eastAsia="zh-CN"/>
        </w:rPr>
        <w:t>-</w:t>
      </w:r>
      <w:r>
        <w:t xml:space="preserve">1 </w:t>
      </w:r>
      <w:r>
        <w:rPr>
          <w:rFonts w:hint="eastAsia"/>
          <w:lang w:val="en-US" w:eastAsia="zh-CN"/>
        </w:rPr>
        <w:t xml:space="preserve"> 质量控制流程图</w:t>
      </w:r>
      <w:r>
        <w:tab/>
      </w:r>
      <w:r>
        <w:fldChar w:fldCharType="begin"/>
      </w:r>
      <w:r>
        <w:instrText xml:space="preserve"> PAGEREF _Toc15149 \h </w:instrText>
      </w:r>
      <w:r>
        <w:fldChar w:fldCharType="separate"/>
      </w:r>
      <w:r>
        <w:t>19</w:t>
      </w:r>
      <w:r>
        <w:fldChar w:fldCharType="end"/>
      </w:r>
      <w:r>
        <w:fldChar w:fldCharType="end"/>
      </w:r>
    </w:p>
    <w:p>
      <w:r>
        <w:fldChar w:fldCharType="end"/>
      </w:r>
    </w:p>
    <w:p>
      <w:pPr>
        <w:keepLines w:val="0"/>
        <w:pageBreakBefore w:val="0"/>
        <w:widowControl w:val="0"/>
        <w:kinsoku w:val="0"/>
        <w:wordWrap/>
        <w:overflowPunct/>
        <w:topLinePunct w:val="0"/>
        <w:autoSpaceDE w:val="0"/>
        <w:autoSpaceDN w:val="0"/>
        <w:bidi w:val="0"/>
        <w:adjustRightInd w:val="0"/>
        <w:snapToGrid w:val="0"/>
        <w:textAlignment w:val="baseline"/>
      </w:pPr>
    </w:p>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 w:name="_Toc26613"/>
      <w:bookmarkStart w:id="2" w:name="_Toc15713"/>
      <w:r>
        <w:rPr>
          <w:rFonts w:hint="default"/>
          <w:lang w:val="en-US" w:eastAsia="zh-CN"/>
        </w:rPr>
        <w:t>目的</w:t>
      </w:r>
      <w:bookmarkEnd w:id="1"/>
      <w:bookmarkEnd w:id="2"/>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ascii="Segoe UI" w:eastAsia="Segoe UI" w:hAnsi="Segoe UI" w:cs="Segoe UI"/>
          <w:i w:val="0"/>
          <w:iCs w:val="0"/>
          <w:caps w:val="0"/>
          <w:color w:val="0F1115"/>
          <w:spacing w:val="0"/>
          <w:sz w:val="24"/>
          <w:szCs w:val="24"/>
          <w:shd w:val="clear" w:color="auto" w:fill="FFFFFF"/>
        </w:rPr>
        <w:t>本制度用于明确天津图云智能科技有限公司（以下简称“公司”）运维能力管理的范围，确定能力管理计划、能力指标体系、技术研发规划的策划、编制、执行、监督及总结过程，确保公司在</w:t>
      </w:r>
      <w:r>
        <w:rPr>
          <w:rStyle w:val="Char"/>
          <w:rFonts w:hint="default"/>
        </w:rPr>
        <w:t>人员、资源、技术、过程、交付</w:t>
      </w:r>
      <w:r>
        <w:rPr>
          <w:rStyle w:val="Char"/>
          <w:rFonts w:hint="eastAsia"/>
          <w:lang w:val="en-US"/>
        </w:rPr>
        <w:t>和</w:t>
      </w:r>
      <w:r>
        <w:rPr>
          <w:rStyle w:val="Char"/>
          <w:rFonts w:hint="default"/>
        </w:rPr>
        <w:t>应急</w:t>
      </w:r>
      <w:r>
        <w:rPr>
          <w:rStyle w:val="Char"/>
          <w:rFonts w:hint="eastAsia"/>
          <w:lang w:val="en-US"/>
        </w:rPr>
        <w:t>方面</w:t>
      </w:r>
      <w:r>
        <w:rPr>
          <w:rFonts w:ascii="Segoe UI" w:eastAsia="Segoe UI" w:hAnsi="Segoe UI" w:cs="Segoe UI" w:hint="default"/>
          <w:i w:val="0"/>
          <w:iCs w:val="0"/>
          <w:caps w:val="0"/>
          <w:color w:val="0F1115"/>
          <w:spacing w:val="0"/>
          <w:sz w:val="24"/>
          <w:szCs w:val="24"/>
          <w:shd w:val="clear" w:color="auto" w:fill="FFFFFF"/>
        </w:rPr>
        <w:t>具备满足客户需求和业务发展要求的运维服务能力。</w:t>
      </w:r>
    </w:p>
    <w:p>
      <w:pPr>
        <w:pStyle w:val="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10097"/>
      <w:bookmarkStart w:id="4" w:name="_Toc16200"/>
      <w:r>
        <w:rPr>
          <w:rFonts w:hint="default"/>
          <w:lang w:val="en-US" w:eastAsia="zh-CN"/>
        </w:rPr>
        <w:t>范围</w:t>
      </w:r>
      <w:bookmarkEnd w:id="3"/>
      <w:bookmarkEnd w:id="4"/>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本制度覆盖公司运维及相关部门，具体包括：运维部、技术中心、质量部、综合管理部、采购部、应急管理部。</w:t>
      </w:r>
    </w:p>
    <w:p>
      <w:pPr>
        <w:pStyle w:val="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15044"/>
      <w:bookmarkStart w:id="6" w:name="_Toc27611"/>
      <w:r>
        <w:rPr>
          <w:rFonts w:hint="default"/>
          <w:lang w:val="en-US" w:eastAsia="zh-CN"/>
        </w:rPr>
        <w:t>角色和职责</w:t>
      </w:r>
      <w:bookmarkEnd w:id="5"/>
      <w:bookmarkEnd w:id="6"/>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3759"/>
      <w:bookmarkStart w:id="8" w:name="_Toc13740"/>
      <w:r>
        <w:rPr>
          <w:rFonts w:hint="default"/>
          <w:lang w:val="en-US" w:eastAsia="zh-CN"/>
        </w:rPr>
        <w:t>管理层</w:t>
      </w:r>
      <w:bookmarkEnd w:id="7"/>
      <w:bookmarkEnd w:id="8"/>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负责本制度的批准。</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负责公司运维服务能力管理的总体决策和资源保障。</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统筹人员、资源、技术、过程、交付和应急六大能力域的资源配置。</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审批年度运维服务能力管理计划和重大改进措施。</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为运维服务能力建设提供必要的资源支持</w:t>
      </w:r>
      <w:r>
        <w:rPr>
          <w:rFonts w:hint="eastAsia"/>
          <w:lang w:val="en-US" w:eastAsia="zh-CN"/>
        </w:rPr>
        <w:t>。</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6559"/>
      <w:bookmarkStart w:id="10" w:name="_Toc30192"/>
      <w:r>
        <w:rPr>
          <w:rFonts w:hint="default"/>
          <w:lang w:val="en-US" w:eastAsia="zh-CN"/>
        </w:rPr>
        <w:t>运维部</w:t>
      </w:r>
      <w:bookmarkEnd w:id="9"/>
      <w:bookmarkEnd w:id="10"/>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运维部是运维服务能力管理的核心执行部门，负责运维服务能力的规划、实施和改进。</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主要职责：</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负责本制度的制定和修改的主体部门。</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根据本制度要求，执行和本部门相关的能力计划。</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参与本制度的评审和改进活动。</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负责运维服务能力实施过程的实施与改进。</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负责组织级服务目录的制定和更新，为能力策划提供依据。</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负责交付能力域的管理，包括交付流程规划、交付资源协调、交付质量控制等。</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负责应急响应能力域的执行，作为应急响应的执行主体，负责重大故障和突发事件的现场处置和恢复工作。</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负责备件库的日常管理，包括备件规划、库存管理、借用调拨等，确保备件资源满足运维服务能力要求。</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负责服务台的日常运行，确保事件响应和服务请求处理能力满足服务级别要求。</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负责收集一线运维实践中的知识素材，提交</w:t>
      </w:r>
      <w:r>
        <w:rPr>
          <w:rFonts w:hint="eastAsia"/>
          <w:lang w:val="en-US" w:eastAsia="zh-CN"/>
        </w:rPr>
        <w:t>服务知识</w:t>
      </w:r>
      <w:r>
        <w:rPr>
          <w:rFonts w:hint="default"/>
          <w:lang w:val="en-US" w:eastAsia="zh-CN"/>
        </w:rPr>
        <w:t>进行整理。</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5812"/>
      <w:bookmarkStart w:id="12" w:name="_Toc30130"/>
      <w:r>
        <w:rPr>
          <w:rFonts w:hint="default"/>
          <w:lang w:val="en-US" w:eastAsia="zh-CN"/>
        </w:rPr>
        <w:t>技术中心</w:t>
      </w:r>
      <w:bookmarkEnd w:id="11"/>
      <w:bookmarkEnd w:id="12"/>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技术中心是运维技术研发和知识管理的支撑部门，负责技术能力规划和知识库建设。</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主要职责：</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参与本制度的制定和修改。</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根据本制度要求，执行和本部门相关的能力计划。</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参与本制度的评审和改进活动。</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负责运维技术的研发规划与实施，包括运维工具研发、技术难题攻关等。</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负责知识库的权限管理、内容管理、知识库评审工作，确保知识资源的有效利用。</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w:t>
      </w:r>
      <w:r>
        <w:rPr>
          <w:rFonts w:hint="eastAsia"/>
          <w:lang w:val="en-US" w:eastAsia="zh-CN"/>
        </w:rPr>
        <w:t>服务知识</w:t>
      </w:r>
      <w:r>
        <w:rPr>
          <w:rFonts w:hint="default"/>
          <w:lang w:val="en-US" w:eastAsia="zh-CN"/>
        </w:rPr>
        <w:t>提交的知识进行评审、入库和更新维护。</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负责运维监控工具、管理工具的部署和维护，为运维服务能力提供技术支撑。</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53"/>
      <w:bookmarkStart w:id="14" w:name="_Toc10136"/>
      <w:r>
        <w:rPr>
          <w:rFonts w:hint="default"/>
          <w:lang w:val="en-US" w:eastAsia="zh-CN"/>
        </w:rPr>
        <w:t>质量部</w:t>
      </w:r>
      <w:bookmarkEnd w:id="13"/>
      <w:bookmarkEnd w:id="14"/>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质量部是运维服务能力管理的监督和改进部门，负责能力计划的监督、检查和改进跟踪。</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主要职责：</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参与本制度的制定和修改。</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根据本制度要求，执行和本部门相关的能力计划。</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参与本制度的评审和改进活动。</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负责过程能力域的管理，包括过程质量监督、过程改进等。</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负责公司运维服务能力计划实施的过程监督、检查和改进。</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负责运维服务能力KPI指标体系的制定和维护。</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负责组织客户满意度调查，为能力改进提供输入。</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参与交付能力域的质量监督，对交付成果进行质量检查。</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参与应急能力域的复盘改进，从质量管理角度监督改进措施的落实。</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19819"/>
      <w:bookmarkStart w:id="16" w:name="_Toc26578"/>
      <w:r>
        <w:rPr>
          <w:rFonts w:hint="default"/>
          <w:lang w:val="en-US" w:eastAsia="zh-CN"/>
        </w:rPr>
        <w:t>综合管理部</w:t>
      </w:r>
      <w:bookmarkEnd w:id="15"/>
      <w:bookmarkEnd w:id="16"/>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综合管理部是公司人力资源和行政后勤的保障部门，负责人员管理和行政支持。</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主要职责：</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参与本制度的制定和修改。</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根据本制度要求，执行和本部门相关的能力计划。</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参与本制度的评审和改进活动。</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负责运维人员的招聘、培训、绩效、薪酬等人力资源管理工作。</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负责运维岗位结构的维护和更新，制定《岗位职责说明书》。</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负责运维人员的经验维护和更新，建立《员工档案》。</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负责制定运维服务相关人员管理系列计划，包括人员招聘计划、关键岗位储备计划、人员培训计划、人员绩效考核计划等。</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负责公司相关资质、证书、资料归档工作。</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10509"/>
      <w:bookmarkStart w:id="18" w:name="_Toc15103"/>
      <w:r>
        <w:rPr>
          <w:rFonts w:hint="default"/>
          <w:lang w:val="en-US" w:eastAsia="zh-CN"/>
        </w:rPr>
        <w:t>采购部</w:t>
      </w:r>
      <w:bookmarkEnd w:id="17"/>
      <w:bookmarkEnd w:id="18"/>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采购部是公司运维服务资源保障的重要组成部分，负责运维物资、备品备件的采购与供应商管理。</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主要职责：</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参与本制度的制定和修改。</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根据本制度要求，执行和本部门相关的能力计划。</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参与本制度的评审和改进活动。</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根据运维部备件库提出的采购需求，制定采购计划并组织实施。</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负责供应商的准入、评估、考核管理，确保备件资源的质量和供应稳定性。</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配合质量部、运维部对采购物资的质量问题进行追溯。</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6361"/>
      <w:bookmarkStart w:id="20" w:name="_Toc5268"/>
      <w:r>
        <w:rPr>
          <w:rFonts w:hint="default"/>
          <w:lang w:val="en-US" w:eastAsia="zh-CN"/>
        </w:rPr>
        <w:t>应急管理部</w:t>
      </w:r>
      <w:bookmarkEnd w:id="19"/>
      <w:bookmarkEnd w:id="20"/>
    </w:p>
    <w:p>
      <w:pPr>
        <w:pStyle w:val="a1"/>
        <w:bidi w:val="0"/>
        <w:rPr>
          <w:rFonts w:hint="default"/>
          <w:lang w:val="en-US" w:eastAsia="zh-CN"/>
        </w:rPr>
      </w:pPr>
      <w:r>
        <w:t>应急管理部由公司副总经理分管，副总经理全面负责应急管理部的统筹协调和重大事项决策</w:t>
      </w:r>
    </w:p>
    <w:p>
      <w:pPr>
        <w:pStyle w:val="a1"/>
        <w:bidi w:val="0"/>
        <w:rPr>
          <w:rFonts w:hint="default"/>
          <w:lang w:val="en-US" w:eastAsia="zh-CN"/>
        </w:rPr>
      </w:pPr>
      <w:r>
        <w:rPr>
          <w:rFonts w:hint="default"/>
          <w:lang w:val="en-US" w:eastAsia="zh-CN"/>
        </w:rPr>
        <w:t>应急管理部是公司运维服务应急保障部门，负责应急预案、应急演练和重大事件处置。</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主要职责：</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参与本制度的制定和修改。</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根据本制度要求，执行和本部门相关的能力计划。</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参与本制度的评审和改进活动。</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负责应急预案的制定、评审和更新，确保应急能力满足运维服务要求。</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负责组织应急演练，提升应急响应能力。</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负责重大应急事件的指挥调度和复盘改进。</w:t>
      </w:r>
    </w:p>
    <w:p>
      <w:pPr>
        <w:pStyle w:val="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25468"/>
      <w:bookmarkStart w:id="22" w:name="_Toc25994"/>
      <w:r>
        <w:rPr>
          <w:rFonts w:hint="default"/>
          <w:lang w:val="en-US" w:eastAsia="zh-CN"/>
        </w:rPr>
        <w:t>具体内容</w:t>
      </w:r>
      <w:bookmarkEnd w:id="21"/>
      <w:bookmarkEnd w:id="22"/>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5235"/>
      <w:bookmarkStart w:id="24" w:name="_Toc3890"/>
      <w:r>
        <w:rPr>
          <w:rFonts w:hint="default"/>
          <w:lang w:val="en-US" w:eastAsia="zh-CN"/>
        </w:rPr>
        <w:t>能力策划流程图</w:t>
      </w:r>
      <w:bookmarkEnd w:id="23"/>
      <w:bookmarkEnd w:id="24"/>
    </w:p>
    <w:p>
      <w:pPr>
        <w:rPr>
          <w:rFonts w:hint="default"/>
          <w:lang w:val="en-US" w:eastAsia="zh-CN"/>
        </w:rPr>
      </w:pPr>
      <w:r>
        <w:rPr>
          <w:rFonts w:hint="default"/>
          <w:lang w:val="en-US" w:eastAsia="zh-CN"/>
        </w:rPr>
        <w:br w:type="page"/>
      </w:r>
    </w:p>
    <w:p>
      <w:pPr>
        <w:pStyle w:val="a1"/>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5" w:name="_Toc29313"/>
      <w:bookmarkStart w:id="26" w:name="_Toc4288"/>
      <w:r>
        <w:rPr>
          <w:rFonts w:hint="eastAsia"/>
          <w:lang w:val="en-US" w:eastAsia="zh-CN"/>
        </w:rPr>
        <w:t xml:space="preserve"> 能力策划流程图</w:t>
      </w:r>
      <w:bookmarkEnd w:id="25"/>
      <w:bookmarkEnd w:id="26"/>
    </w:p>
    <w:p>
      <w:pPr>
        <w:pStyle w:val="a1"/>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drawing>
          <wp:inline distT="0" distB="0" distL="114300" distR="114300">
            <wp:extent cx="3850005" cy="3688715"/>
            <wp:effectExtent l="0" t="0" r="5715" b="1460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xmlns:r="http://schemas.openxmlformats.org/officeDocument/2006/relationships" r:embed="rId4"/>
                    <a:stretch>
                      <a:fillRect/>
                    </a:stretch>
                  </pic:blipFill>
                  <pic:spPr>
                    <a:xfrm>
                      <a:off x="0" y="0"/>
                      <a:ext cx="3850005" cy="3688715"/>
                    </a:xfrm>
                    <a:prstGeom prst="rect">
                      <a:avLst/>
                    </a:prstGeom>
                    <a:noFill/>
                    <a:ln>
                      <a:noFill/>
                    </a:ln>
                  </pic:spPr>
                </pic:pic>
              </a:graphicData>
            </a:graphic>
          </wp:inline>
        </w:drawing>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161"/>
      <w:bookmarkStart w:id="28" w:name="_Toc19721"/>
      <w:r>
        <w:rPr>
          <w:rFonts w:hint="default"/>
          <w:lang w:val="en-US" w:eastAsia="zh-CN"/>
        </w:rPr>
        <w:t>能力策划</w:t>
      </w:r>
      <w:bookmarkEnd w:id="27"/>
      <w:bookmarkEnd w:id="28"/>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为了对运行维护服务能力进行整体策划并提供必要的资源支持，以确保公司有能力提供良好稳定的IT运维服务。公司</w:t>
      </w:r>
      <w:bookmarkStart w:id="29" w:name="_GoBack"/>
      <w:bookmarkEnd w:id="29"/>
      <w:r>
        <w:rPr>
          <w:rFonts w:hint="eastAsia"/>
          <w:lang w:val="en-US" w:eastAsia="zh-CN"/>
        </w:rPr>
        <w:t>每年7月</w:t>
      </w:r>
      <w:r>
        <w:rPr>
          <w:rFonts w:hint="default"/>
          <w:lang w:val="en-US" w:eastAsia="zh-CN"/>
        </w:rPr>
        <w:t>根据上年的经营情况和本年度的业务需求，主要从以下几方面对运维服务能力进行策划。</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基于公司的发展战略，公司管理层每年制定年度公司运维业务发展目标，结合公司的具体业务能力范围，形成运维战略发展相关文件及目标下发给各相关部门。</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运维部根据组织级服务目录、服务级别协议及其他相关活动所提出的能力需求，进行现状评估，根据现状评估报告与能力需求分析报告，进行差距分析，形成差距分析报告，作为本年度运维服务能力策划的依据。</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运维部负责安排人员根据公司运维业务战略规划制定《年度运维服务能力管理计划》。</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运维部根据公司制定的年度总体规划及年度运维服务能力管理计划，协调相关部门落实运维服务要素（人员、资源、技术</w:t>
      </w:r>
      <w:r>
        <w:rPr>
          <w:rFonts w:hint="eastAsia"/>
          <w:lang w:val="en-US" w:eastAsia="zh-CN"/>
        </w:rPr>
        <w:t>、</w:t>
      </w:r>
      <w:r>
        <w:rPr>
          <w:rFonts w:hint="default"/>
          <w:lang w:val="en-US" w:eastAsia="zh-CN"/>
        </w:rPr>
        <w:t>过程</w:t>
      </w:r>
      <w:r>
        <w:rPr>
          <w:rFonts w:hint="eastAsia"/>
          <w:lang w:val="en-US" w:eastAsia="zh-CN"/>
        </w:rPr>
        <w:t>、交付和应急</w:t>
      </w:r>
      <w:r>
        <w:rPr>
          <w:rFonts w:hint="default"/>
          <w:lang w:val="en-US" w:eastAsia="zh-CN"/>
        </w:rPr>
        <w:t>）的工作安排和职责。</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0" w:name="_Toc18510"/>
      <w:bookmarkStart w:id="31" w:name="_Toc4936"/>
      <w:r>
        <w:rPr>
          <w:rFonts w:hint="default"/>
          <w:lang w:val="en-US" w:eastAsia="zh-CN"/>
        </w:rPr>
        <w:t>审批</w:t>
      </w:r>
      <w:bookmarkEnd w:id="30"/>
      <w:bookmarkEnd w:id="31"/>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质量部经理负责对公司年度运维服务能力管理计划、能力指标体系和技术研发规划进行审核，总经理进行批准。总经理主要负责从公司整体能力管理计划的适宜性及完整性方面考虑。</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2" w:name="_Toc28750"/>
      <w:bookmarkStart w:id="33" w:name="_Toc28854"/>
      <w:r>
        <w:rPr>
          <w:rFonts w:hint="default"/>
          <w:lang w:val="en-US" w:eastAsia="zh-CN"/>
        </w:rPr>
        <w:t>执行</w:t>
      </w:r>
      <w:bookmarkEnd w:id="32"/>
      <w:bookmarkEnd w:id="33"/>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根据整体能力管理计划制定满足整体策划的《运维服务能力管理计划》，并交付各部门按计划实施。</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各部门按照服务能力要求实施管理活动并记录，确保服务能力管理和服务过程实施可追溯，服务结果可计量或可评估。</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各部门按照《运维服务能力管理计划》提交满足质量要求的交付物，如运维服务质量报告、运维服务能力管理计划的实施结果或总结报告。</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4" w:name="_Toc1888"/>
      <w:bookmarkStart w:id="35" w:name="_Toc16997"/>
      <w:r>
        <w:rPr>
          <w:rFonts w:hint="default"/>
          <w:lang w:val="en-US" w:eastAsia="zh-CN"/>
        </w:rPr>
        <w:t>监督</w:t>
      </w:r>
      <w:bookmarkEnd w:id="34"/>
      <w:bookmarkEnd w:id="35"/>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《运维服务能力管理计划》的编制和实施部门对制定的计划实施情况跟踪，形成计划执行结果报告。</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质量部对运维服务管理相关计划实施进行监督和管理，定期检查各部门计划执行和落实情况是否符合要求。</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质量部检查运维计划（人员、资源、过程、技术</w:t>
      </w:r>
      <w:r>
        <w:rPr>
          <w:rFonts w:hint="eastAsia"/>
          <w:lang w:val="en-US" w:eastAsia="zh-CN"/>
        </w:rPr>
        <w:t>、交付和应急</w:t>
      </w:r>
      <w:r>
        <w:rPr>
          <w:rFonts w:hint="default"/>
          <w:lang w:val="en-US" w:eastAsia="zh-CN"/>
        </w:rPr>
        <w:t>）执行落实情况并跟踪改进结果，及时上报给总经理。</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6" w:name="_Toc22602"/>
      <w:bookmarkStart w:id="37" w:name="_Toc14386"/>
      <w:r>
        <w:rPr>
          <w:rFonts w:hint="default"/>
          <w:lang w:val="en-US" w:eastAsia="zh-CN"/>
        </w:rPr>
        <w:t>年度总结</w:t>
      </w:r>
      <w:bookmarkEnd w:id="36"/>
      <w:bookmarkEnd w:id="37"/>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每年7月初</w:t>
      </w:r>
      <w:r>
        <w:rPr>
          <w:rFonts w:hint="default"/>
          <w:lang w:val="en-US" w:eastAsia="zh-CN"/>
        </w:rPr>
        <w:t>，运维部、技术中心、质量部、综合管理部、采购部、应急管理部共同对运维服务能力管理计划、能力指标体系执行情况进行年度总结，记录各部门在执行过程中积累的经验和教训，并互相分享，经由汇总后形成《运维服务能力总结报告》为下一年度运维服务能力策划提供参考依据。</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综合管理部负责将相关记录（运维服务能力计划、检查记录、年度总结材料、经验教训等）入公司资料库，进行统一管理。</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8" w:name="_Toc567"/>
      <w:bookmarkStart w:id="39" w:name="_Toc29392"/>
      <w:r>
        <w:rPr>
          <w:rFonts w:hint="default"/>
          <w:lang w:val="en-US" w:eastAsia="zh-CN"/>
        </w:rPr>
        <w:t>改进</w:t>
      </w:r>
      <w:bookmarkEnd w:id="38"/>
      <w:bookmarkEnd w:id="39"/>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每年度</w:t>
      </w:r>
      <w:r>
        <w:rPr>
          <w:rFonts w:hint="default"/>
          <w:lang w:val="en-US" w:eastAsia="zh-CN"/>
        </w:rPr>
        <w:t>质量部经理对计划执行出现的问题或要处理的情况进行协调，形成改进措施。</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由质量部组织管理评审会议，公司管理层对年度工作进行总结，其中包括对运维服务目标进行总结并提交改进建议。</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对未达成的指标进行调查分析，并形成指标调查分析报告或记录。根据当年计划执行情况制定下年度《运维服务能力管理计划》。</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0" w:name="_Toc19595"/>
      <w:bookmarkStart w:id="41" w:name="_Toc7659"/>
      <w:r>
        <w:rPr>
          <w:rFonts w:hint="default"/>
          <w:lang w:val="en-US" w:eastAsia="zh-CN"/>
        </w:rPr>
        <w:t>运维服务管理体系的维护</w:t>
      </w:r>
      <w:bookmarkEnd w:id="40"/>
      <w:bookmarkEnd w:id="41"/>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运维服务管理体系统一由运维部进行策划，按照内审和管评结果更新和维护体系。</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负责运维服务体系的日常执行，由质量部的质量专员按照运维服务质量管理计划执行监督和检查，质量部对质量专员日常工作进行定期检查。</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公司质量部每年至少组织一次内审和管评活动，收集改进建议，纳入到体系改进计划中，以便对体系进行更新和维护。</w:t>
      </w:r>
    </w:p>
    <w:p>
      <w:pPr>
        <w:pStyle w:val="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2" w:name="_Toc18853"/>
      <w:bookmarkStart w:id="43" w:name="_Toc28664"/>
      <w:r>
        <w:rPr>
          <w:rFonts w:hint="eastAsia"/>
          <w:lang w:val="en-US" w:eastAsia="zh-CN"/>
        </w:rPr>
        <w:t>能力管理细则</w:t>
      </w:r>
      <w:bookmarkEnd w:id="42"/>
      <w:bookmarkEnd w:id="43"/>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为了保障服务质量、不断提高客户满意度，根据我公司运维服务体系的方针，运维相关部门分别从人员、资源、过程</w:t>
      </w:r>
      <w:r>
        <w:rPr>
          <w:rFonts w:hint="eastAsia"/>
          <w:lang w:val="en-US" w:eastAsia="zh-CN"/>
        </w:rPr>
        <w:t>、</w:t>
      </w:r>
      <w:r>
        <w:rPr>
          <w:rFonts w:hint="default"/>
          <w:lang w:val="en-US" w:eastAsia="zh-CN"/>
        </w:rPr>
        <w:t>技术</w:t>
      </w:r>
      <w:r>
        <w:rPr>
          <w:rFonts w:hint="eastAsia"/>
          <w:lang w:val="en-US" w:eastAsia="zh-CN"/>
        </w:rPr>
        <w:t>、交付和应急</w:t>
      </w:r>
      <w:r>
        <w:rPr>
          <w:rFonts w:hint="default"/>
          <w:lang w:val="en-US" w:eastAsia="zh-CN"/>
        </w:rPr>
        <w:t>方面策划运维服务并制定具体的工作计划。</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4" w:name="_Toc4866"/>
      <w:bookmarkStart w:id="45" w:name="_Toc24802"/>
      <w:r>
        <w:rPr>
          <w:rFonts w:hint="default"/>
          <w:lang w:val="en-US" w:eastAsia="zh-CN"/>
        </w:rPr>
        <w:t>人员管理</w:t>
      </w:r>
      <w:bookmarkEnd w:id="44"/>
      <w:bookmarkEnd w:id="45"/>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运维人员岗位结构和职责由综合管理部制定，由综合管理部对运维岗位结构进行维护和更新，具体详见《岗位职责说明书》。</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由综合管理部根据公司《人员绩效考核及技能评价管理制度》对运维人员绩效考核进行管理，每月度对运维人员进行绩效考核，将考核结果汇总到综合管理部。</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综合管理部每年对运维人员的经验进行维护和更新，更新到《员工档案》中。</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综合管理部根据业务及人员发展的需要，制定运维服务人员必须具备的知识水平要求。</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关于运维服务人员的培训，按照公司的《人员培训管理制度》执行，综合管理部根据运维工作需要开展与运维相关的培训工作，具体内容参照《人员培训管理计划》。</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综合管理部基于年度业务发展的需要，每年制定运维服务相关人员管理系列计划，包括人员招聘计划、关键岗位储备计划、人员培训计划、人员绩效考核计划等几大方面内容。</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6" w:name="_Toc10046"/>
      <w:bookmarkStart w:id="47" w:name="_Toc1089"/>
      <w:r>
        <w:rPr>
          <w:rFonts w:hint="default"/>
          <w:lang w:val="en-US" w:eastAsia="zh-CN"/>
        </w:rPr>
        <w:t>资源管理</w:t>
      </w:r>
      <w:bookmarkEnd w:id="46"/>
      <w:bookmarkEnd w:id="47"/>
    </w:p>
    <w:p>
      <w:pPr>
        <w:pStyle w:val="3"/>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8" w:name="_Toc18661"/>
      <w:bookmarkStart w:id="49" w:name="_Toc28573"/>
      <w:r>
        <w:rPr>
          <w:rFonts w:hint="default"/>
          <w:lang w:val="en-US" w:eastAsia="zh-CN"/>
        </w:rPr>
        <w:t>知识库管理</w:t>
      </w:r>
      <w:bookmarkEnd w:id="48"/>
      <w:bookmarkEnd w:id="49"/>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知识库由技术中心建立并维护，知识库归属公司的资产库，为运维服务团队人员建立专门的知识共享平台，由</w:t>
      </w:r>
      <w:r>
        <w:rPr>
          <w:rFonts w:hint="eastAsia"/>
          <w:lang w:val="en-US" w:eastAsia="zh-CN"/>
        </w:rPr>
        <w:t>运维部下属的服务知识专员</w:t>
      </w:r>
      <w:r>
        <w:rPr>
          <w:rFonts w:hint="default"/>
          <w:lang w:val="en-US" w:eastAsia="zh-CN"/>
        </w:rPr>
        <w:t>进行维护，提供常见问题解答、运维服务经验分享、系统安全服务等多种服务内容，通过知识共享平台提高现场运维服务效率和运维工程师能力。</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运维部下设的</w:t>
      </w:r>
      <w:r>
        <w:rPr>
          <w:rFonts w:hint="eastAsia"/>
          <w:lang w:val="en-US" w:eastAsia="zh-CN"/>
        </w:rPr>
        <w:t>服务知识</w:t>
      </w:r>
      <w:r>
        <w:rPr>
          <w:rFonts w:hint="default"/>
          <w:lang w:val="en-US" w:eastAsia="zh-CN"/>
        </w:rPr>
        <w:t>负责一线知识的收集、整理和初步审核，将整理好的知识提交技术中心进行评审和入库。知识库管理按照《知识库管理制度》进行管理和维护。</w:t>
      </w:r>
    </w:p>
    <w:p>
      <w:pPr>
        <w:pStyle w:val="3"/>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0" w:name="_Toc31468"/>
      <w:bookmarkStart w:id="51" w:name="_Toc17845"/>
      <w:r>
        <w:rPr>
          <w:rFonts w:hint="default"/>
          <w:lang w:val="en-US" w:eastAsia="zh-CN"/>
        </w:rPr>
        <w:t>运维工具管理</w:t>
      </w:r>
      <w:bookmarkEnd w:id="50"/>
      <w:bookmarkEnd w:id="51"/>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运维管理工具采用开源的itop，监控工具采用zabbix，由技术中心进行部署，根据公司运维业务情况自定义管理流程，由各部门共同使用，负责维护。</w:t>
      </w:r>
    </w:p>
    <w:p>
      <w:pPr>
        <w:pStyle w:val="3"/>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2" w:name="_Toc80"/>
      <w:bookmarkStart w:id="53" w:name="_Toc14999"/>
      <w:r>
        <w:rPr>
          <w:rFonts w:hint="default"/>
          <w:lang w:val="en-US" w:eastAsia="zh-CN"/>
        </w:rPr>
        <w:t>服务台管理</w:t>
      </w:r>
      <w:bookmarkEnd w:id="52"/>
      <w:bookmarkEnd w:id="53"/>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服务台设立在运维部，客户可以通过服务台上报故障或提出服务请求，配有专业的服务台专员对客户投诉及反馈的问题和事件进行统一受理，服务台按照《服务台管理制度》执行。</w:t>
      </w:r>
    </w:p>
    <w:p>
      <w:pPr>
        <w:pStyle w:val="3"/>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4" w:name="_Toc15469"/>
      <w:bookmarkStart w:id="55" w:name="_Toc30559"/>
      <w:r>
        <w:rPr>
          <w:rFonts w:hint="default"/>
          <w:lang w:val="en-US" w:eastAsia="zh-CN"/>
        </w:rPr>
        <w:t>备件库管理</w:t>
      </w:r>
      <w:bookmarkEnd w:id="54"/>
      <w:bookmarkEnd w:id="55"/>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件库设立在运维部，负责硬件备件、应急物资的规范化管理。备件库根据运维服务目录和合同要求，制定备件储备规划，定期评估库存状况，低于安全库存时向采购部提出采购需求。备件库按照《备件库管理制度》进行管理和维护。</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6" w:name="_Toc1836"/>
      <w:bookmarkStart w:id="57" w:name="_Toc11248"/>
      <w:r>
        <w:rPr>
          <w:rFonts w:hint="default"/>
          <w:lang w:val="en-US" w:eastAsia="zh-CN"/>
        </w:rPr>
        <w:t>技术管理</w:t>
      </w:r>
      <w:bookmarkEnd w:id="56"/>
      <w:bookmarkEnd w:id="57"/>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技术能力是运维服务核心要素之一，由技术中心负责统筹管理，运维部、</w:t>
      </w:r>
      <w:r>
        <w:rPr>
          <w:rFonts w:hint="eastAsia"/>
          <w:lang w:val="en-US" w:eastAsia="zh-CN"/>
        </w:rPr>
        <w:t>服务知识</w:t>
      </w:r>
      <w:r>
        <w:rPr>
          <w:rFonts w:hint="default"/>
          <w:lang w:val="en-US" w:eastAsia="zh-CN"/>
        </w:rPr>
        <w:t>等协同配合，共同构建公司的运维技术体系。</w:t>
      </w:r>
    </w:p>
    <w:p>
      <w:pPr>
        <w:pStyle w:val="3"/>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8" w:name="_Toc15833"/>
      <w:bookmarkStart w:id="59" w:name="_Toc22007"/>
      <w:r>
        <w:rPr>
          <w:rFonts w:hint="default"/>
          <w:lang w:val="en-US" w:eastAsia="zh-CN"/>
        </w:rPr>
        <w:t>运维工具研发</w:t>
      </w:r>
      <w:bookmarkEnd w:id="58"/>
      <w:bookmarkEnd w:id="59"/>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运维工具是提升运维服务效率和质量的重要手段，技术中心负责运维工具的规划、研发和持续优化。</w:t>
      </w:r>
    </w:p>
    <w:p>
      <w:pPr>
        <w:pStyle w:val="a1"/>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工具研发规划</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技术中心</w:t>
      </w:r>
      <w:r>
        <w:rPr>
          <w:rFonts w:hint="eastAsia"/>
          <w:lang w:val="en-US" w:eastAsia="zh-CN"/>
        </w:rPr>
        <w:t>每年7月</w:t>
      </w:r>
      <w:r>
        <w:rPr>
          <w:rFonts w:hint="default"/>
          <w:lang w:val="en-US" w:eastAsia="zh-CN"/>
        </w:rPr>
        <w:t>根据运维业务发展需求，制定《运维工具研发规划》，明确本年度工具研发的目标、方向和重点。</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工具研发规划应纳入年度运维服务能力管理计划，经管理层审批后执行。</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工具研发规划应考虑以下方面：</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自动化运维工具（如自动部署、自动巡检、自动备份等）</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监控告警工具（如系统监控、网络监控、业务监控等）</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运维管理工具（如服务台系统、配置管理数据库、知识库系统等）</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诊断分析工具（如日志分析、性能分析、故障诊断等）</w:t>
      </w:r>
    </w:p>
    <w:p>
      <w:pPr>
        <w:pStyle w:val="a1"/>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工具研发执行</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技术中心负责组织研发团队按计划推进工具研发工作，确保按时保质完成。</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研发过程中应遵循公司软件开发规范，包括需求分析、设计、编码、测试、发布等环节。</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工具研发完成后，应组织试点验证，确保工具的稳定性和适用性。</w:t>
      </w:r>
    </w:p>
    <w:p>
      <w:pPr>
        <w:pStyle w:val="a1"/>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工具研发成果评估</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工具上线使用后，技术中心应定期收集使用反馈，评估工具的实际效果。</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根据评估结果，持续优化工具功能和性能。</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将优秀的工具研发成果纳入公司技术资产库，形成技术积累。</w:t>
      </w:r>
    </w:p>
    <w:p>
      <w:pPr>
        <w:pStyle w:val="3"/>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0" w:name="_Toc22660"/>
      <w:bookmarkStart w:id="61" w:name="_Toc10083"/>
      <w:r>
        <w:rPr>
          <w:rFonts w:hint="default"/>
          <w:lang w:val="en-US" w:eastAsia="zh-CN"/>
        </w:rPr>
        <w:t>运维手册研发</w:t>
      </w:r>
      <w:bookmarkEnd w:id="60"/>
      <w:bookmarkEnd w:id="61"/>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运维手册是指导运维人员规范操作、快速解决问题的重要技术资料，由技术中心牵头，运维部、</w:t>
      </w:r>
      <w:r>
        <w:rPr>
          <w:rFonts w:hint="eastAsia"/>
          <w:lang w:val="en-US" w:eastAsia="zh-CN"/>
        </w:rPr>
        <w:t>服务知识</w:t>
      </w:r>
      <w:r>
        <w:rPr>
          <w:rFonts w:hint="default"/>
          <w:lang w:val="en-US" w:eastAsia="zh-CN"/>
        </w:rPr>
        <w:t>共同参与研发和维护。</w:t>
      </w:r>
    </w:p>
    <w:p>
      <w:pPr>
        <w:pStyle w:val="a1"/>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手册类型</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公司建立分层级的运维手册体系，</w:t>
      </w:r>
      <w:r>
        <w:rPr>
          <w:rFonts w:hint="eastAsia"/>
          <w:lang w:val="en-US" w:eastAsia="zh-CN"/>
        </w:rPr>
        <w:t>如表5-1所示</w:t>
      </w:r>
      <w:r>
        <w:rPr>
          <w:rFonts w:hint="default"/>
          <w:lang w:val="en-US" w:eastAsia="zh-CN"/>
        </w:rPr>
        <w:t>包括：</w:t>
      </w:r>
    </w:p>
    <w:p>
      <w:pPr>
        <w:pStyle w:val="a1"/>
        <w:keepNext/>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2" w:name="_Toc501"/>
      <w:r>
        <w:rPr>
          <w:rFonts w:hint="eastAsia"/>
          <w:lang w:val="en-US" w:eastAsia="zh-CN"/>
        </w:rPr>
        <w:t xml:space="preserve"> 运维手册类型表</w:t>
      </w:r>
      <w:bookmarkEnd w:id="62"/>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96"/>
        <w:gridCol w:w="4947"/>
        <w:gridCol w:w="1979"/>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596"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手册类型</w:t>
            </w:r>
          </w:p>
        </w:tc>
        <w:tc>
          <w:tcPr>
            <w:tcW w:w="4947"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内容说明</w:t>
            </w:r>
          </w:p>
        </w:tc>
        <w:tc>
          <w:tcPr>
            <w:tcW w:w="1979"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责任部门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9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运维操作手册</w:t>
            </w:r>
          </w:p>
        </w:tc>
        <w:tc>
          <w:tcPr>
            <w:tcW w:w="494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规范日常运维操作流程，如系统启停、备份恢复、日常巡检等</w:t>
            </w:r>
          </w:p>
        </w:tc>
        <w:tc>
          <w:tcPr>
            <w:tcW w:w="197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技术中心、运维部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9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故障处理手册</w:t>
            </w:r>
          </w:p>
        </w:tc>
        <w:tc>
          <w:tcPr>
            <w:tcW w:w="494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常见故障的诊断方法和解决步骤，形成标准化处理流程</w:t>
            </w:r>
          </w:p>
        </w:tc>
        <w:tc>
          <w:tcPr>
            <w:tcW w:w="197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技术中心、</w:t>
            </w:r>
            <w:r>
              <w:rPr>
                <w:rFonts w:ascii="Segoe UI" w:eastAsia="Segoe UI" w:hAnsi="Segoe UI" w:cs="Segoe UI" w:hint="eastAsia"/>
                <w:i w:val="0"/>
                <w:iCs w:val="0"/>
                <w:caps w:val="0"/>
                <w:snapToGrid w:val="0"/>
                <w:color w:val="000000"/>
                <w:spacing w:val="0"/>
                <w:kern w:val="0"/>
                <w:sz w:val="22"/>
                <w:szCs w:val="22"/>
                <w:lang w:val="en-US" w:eastAsia="zh-CN"/>
              </w:rPr>
              <w:t>服务知识</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9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应急预案操作手册</w:t>
            </w:r>
          </w:p>
        </w:tc>
        <w:tc>
          <w:tcPr>
            <w:tcW w:w="494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重大故障应急响应的具体操作步骤和注意事项</w:t>
            </w:r>
          </w:p>
        </w:tc>
        <w:tc>
          <w:tcPr>
            <w:tcW w:w="197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应急管理部、技术中心</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9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系统部署手册</w:t>
            </w:r>
          </w:p>
        </w:tc>
        <w:tc>
          <w:tcPr>
            <w:tcW w:w="494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新系统部署、环境搭建、参数配置等操作指南</w:t>
            </w:r>
          </w:p>
        </w:tc>
        <w:tc>
          <w:tcPr>
            <w:tcW w:w="197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技术中心、运维部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96"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客户培训手册</w:t>
            </w:r>
          </w:p>
        </w:tc>
        <w:tc>
          <w:tcPr>
            <w:tcW w:w="4947"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面向客户的系统使用培训资料</w:t>
            </w:r>
          </w:p>
        </w:tc>
        <w:tc>
          <w:tcPr>
            <w:tcW w:w="1979"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bl>
    <w:p>
      <w:pPr>
        <w:pStyle w:val="a1"/>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手册研发流程</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需求收集：技术中心收集运维部、服务台在日常工作中对手册的需求，确定手册研发的优先级。</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内容编写：技术中心组织相关人员编写手册内容，确保内容准确、步骤清晰、易于理解。</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评审验证：组织相关部门对手册进行评审，验证手册的可行性和准确性。</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发布培训：手册发布后，组织相关人员进行培训，确保手册被正确理解和应用。</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持续更新：根据实际使用反馈和技术变化，定期对手册进行更新维护。</w:t>
      </w:r>
    </w:p>
    <w:p>
      <w:pPr>
        <w:pStyle w:val="a1"/>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知识库对接</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所有运维手册应纳入知识库管理，通过知识库平台进行发布和共享。</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服务知识</w:t>
      </w:r>
      <w:r>
        <w:rPr>
          <w:rFonts w:hint="default"/>
          <w:lang w:val="en-US" w:eastAsia="zh-CN"/>
        </w:rPr>
        <w:t>负责将一线实践经验补充到手册中，形成知识闭环。</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技术中心负责手册的版本管理和权限控制。</w:t>
      </w:r>
    </w:p>
    <w:p>
      <w:pPr>
        <w:pStyle w:val="3"/>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3" w:name="_Toc541"/>
      <w:bookmarkStart w:id="64" w:name="_Toc4230"/>
      <w:r>
        <w:rPr>
          <w:rFonts w:hint="default"/>
          <w:lang w:val="en-US" w:eastAsia="zh-CN"/>
        </w:rPr>
        <w:t>新技术研发</w:t>
      </w:r>
      <w:bookmarkEnd w:id="63"/>
      <w:bookmarkEnd w:id="64"/>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新技术研发是保持公司技术领先性和服务竞争力的重要手段，技术中心负责跟踪、研究、引入和应用新技术。</w:t>
      </w:r>
    </w:p>
    <w:p>
      <w:pPr>
        <w:pStyle w:val="a1"/>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技术跟踪与调研</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技术中心负责跟踪行业技术发展趋势，关注新兴技术（如人工智能运维、自动化运维、容器化、云原生等）的发展动态。</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定期组织技术调研，分析新技术在运维领域的应用前景和价值。</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形成《技术调研报告》，为技术决策提供依据。</w:t>
      </w:r>
    </w:p>
    <w:p>
      <w:pPr>
        <w:pStyle w:val="a1"/>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新技术引入评估</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对新技术进行可行性评估，包括技术成熟度、与现有系统的兼容性、实施成本、预期收益等。</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组织技术验证（PoC），验证新技术在实际环境中的效果。</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形成《新技术引入评估报告》，提交管理层决策。</w:t>
      </w:r>
    </w:p>
    <w:p>
      <w:pPr>
        <w:pStyle w:val="a1"/>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新技术应用试点</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对于评估通过的新技术，选择合适场景进行试点应用。</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跟踪试点效果，收集使用反馈，评估技术应用价值。</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试点成功后，制定推广计划，逐步扩大应用范围。</w:t>
      </w:r>
    </w:p>
    <w:p>
      <w:pPr>
        <w:pStyle w:val="a1"/>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技术创新与攻关</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针对运维服务中的技术难题和痛点，组织技术攻关团队进行专项研究。</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鼓励技术创新，对优秀的技术创新成果给予激励。</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将技术创新成果转化为专利、软件著作权等知识产权。</w:t>
      </w:r>
    </w:p>
    <w:p>
      <w:pPr>
        <w:pStyle w:val="a1"/>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技术成果转化</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将新技术研发成果转化为实际运维能力，包括工具、手册、流程优化等。</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组织技术分享会，推广新技术应用经验。</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将成熟的技术成果纳入公司技术资产库，形成持续的技术积累。</w:t>
      </w:r>
    </w:p>
    <w:p>
      <w:pPr>
        <w:pStyle w:val="3"/>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5" w:name="_Toc14193"/>
      <w:bookmarkStart w:id="66" w:name="_Toc6418"/>
      <w:r>
        <w:rPr>
          <w:rFonts w:hint="default"/>
          <w:lang w:val="en-US" w:eastAsia="zh-CN"/>
        </w:rPr>
        <w:t>运维工具应用情况</w:t>
      </w:r>
      <w:bookmarkEnd w:id="65"/>
      <w:bookmarkEnd w:id="66"/>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运维工具的应用情况是评估技术能力落地效果的重要依据，技术中心负责工具应用的跟踪、评估和优化。</w:t>
      </w:r>
    </w:p>
    <w:p>
      <w:pPr>
        <w:pStyle w:val="a1"/>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工具部署与推广</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技术中心负责运维工具的部署、配置和初始设置，确保工具正常运行。</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组织工具使用培训，帮助运维人员掌握工具的使用方法。</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制定工具推广计划，推动工具在相关团队的广泛应用。</w:t>
      </w:r>
    </w:p>
    <w:p>
      <w:pPr>
        <w:pStyle w:val="a1"/>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工具使用情况跟踪</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建立工具使用情况跟踪机制，定期收集工具使用数据，包括：</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工具使用频率和覆盖率</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工具解决的实际问题数量</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用户对工具的满意度评价</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工具运行稳定性和性能表现</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形成《运维工具应用情况报告》，每季度向管理层汇报。</w:t>
      </w:r>
    </w:p>
    <w:p>
      <w:pPr>
        <w:pStyle w:val="a1"/>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工具效果评估</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从以下维度评估工具的应用效果：</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效率提升：工具使用后，运维工作效率的提升情况</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质量改善：工具使用后，运维质量的改善情况</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成本降低：工具使用后，人力成本、时间成本的降低情况</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问题减少：工具使用后，同类问题的发生频率变化</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根据评估结果，识别工具的优势和不足，提出改进建议。</w:t>
      </w:r>
    </w:p>
    <w:p>
      <w:pPr>
        <w:pStyle w:val="a1"/>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工具优化迭代</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收集用户对工具的改进建议，纳入工具优化计划。</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技术中心负责工具的持续优化和迭代升级，确保工具始终满足业务需求。</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对于使用率低或效果不佳的工具，组织专题分析，决定是优化还是淘汰。</w:t>
      </w:r>
    </w:p>
    <w:p>
      <w:pPr>
        <w:pStyle w:val="a1"/>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工具使用经验沉淀</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鼓励运维人员总结工具使用经验和技巧，形成《工具使用最佳实践》。</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将优秀的工具使用案例纳入知识库，供团队学习参考。</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定期组织工具使用经验分享会，促进团队能力提升。</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7" w:name="_Toc24323"/>
      <w:bookmarkStart w:id="68" w:name="_Toc25672"/>
      <w:r>
        <w:rPr>
          <w:rFonts w:hint="default"/>
          <w:lang w:val="en-US" w:eastAsia="zh-CN"/>
        </w:rPr>
        <w:t>过程管理</w:t>
      </w:r>
      <w:bookmarkEnd w:id="67"/>
      <w:bookmarkEnd w:id="68"/>
    </w:p>
    <w:p>
      <w:pPr>
        <w:pStyle w:val="a1"/>
        <w:keepLines w:val="0"/>
        <w:pageBreakBefore w:val="0"/>
        <w:widowControl w:val="0"/>
        <w:kinsoku w:val="0"/>
        <w:wordWrap/>
        <w:overflowPunct/>
        <w:topLinePunct w:val="0"/>
        <w:autoSpaceDE w:val="0"/>
        <w:autoSpaceDN w:val="0"/>
        <w:bidi w:val="0"/>
        <w:adjustRightInd w:val="0"/>
        <w:snapToGrid w:val="0"/>
        <w:textAlignment w:val="baseline"/>
        <w:rPr>
          <w:rFonts w:ascii="Consolas" w:eastAsia="宋体" w:hAnsi="Consolas" w:cs="Consolas" w:hint="eastAsia"/>
          <w:caps w:val="0"/>
          <w:color w:val="0F1115"/>
          <w:spacing w:val="0"/>
          <w:szCs w:val="19"/>
          <w:lang w:eastAsia="zh-CN"/>
        </w:rPr>
      </w:pPr>
      <w:r>
        <w:rPr>
          <w:rFonts w:hint="default"/>
        </w:rPr>
        <w:t>过程管理与其他能力域紧密关联：人员能力通过过程规范执行，资源能力通过过程调配使用，技术能力通过过程落地应用，交付能力通过过程保障质量，应急能力通过过程快速响应。过程管理为其他能力域的有效运行提供规范化保障</w:t>
      </w:r>
      <w:r>
        <w:rPr>
          <w:rFonts w:hint="eastAsia"/>
          <w:lang w:eastAsia="zh-CN"/>
        </w:rPr>
        <w:t>。</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w:t>
      </w:r>
      <w:r>
        <w:rPr>
          <w:rFonts w:hint="eastAsia"/>
          <w:lang w:val="en-US" w:eastAsia="zh-CN"/>
        </w:rPr>
        <w:t>十一</w:t>
      </w:r>
      <w:r>
        <w:rPr>
          <w:rFonts w:hint="default"/>
          <w:lang w:val="en-US" w:eastAsia="zh-CN"/>
        </w:rPr>
        <w:t>个运维服务过程管理制度，包括：</w:t>
      </w:r>
      <w:r>
        <w:rPr>
          <w:rFonts w:hint="eastAsia"/>
          <w:lang w:val="en-US" w:eastAsia="zh-CN"/>
        </w:rPr>
        <w:t>过程框架管理程序、</w:t>
      </w:r>
      <w:r>
        <w:rPr>
          <w:rFonts w:hint="default"/>
          <w:lang w:val="en-US" w:eastAsia="zh-CN"/>
        </w:rPr>
        <w:t>服务级别管理程序、服务报告管理程序、事件管理程序、问题管理程序、配置管理程序、变更管理程序、发布管理程序、</w:t>
      </w:r>
      <w:r>
        <w:rPr>
          <w:rFonts w:hint="eastAsia"/>
          <w:lang w:val="en-US" w:eastAsia="zh-CN"/>
        </w:rPr>
        <w:t>服务可用性和连续性管理程序、容量管理程序和</w:t>
      </w:r>
      <w:r>
        <w:rPr>
          <w:rFonts w:hint="default"/>
          <w:lang w:val="en-US" w:eastAsia="zh-CN"/>
        </w:rPr>
        <w:t>信息安全管理程序。每年度按需进行服务流程梳理，更新相关管理程序文件。</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对过程流程的日常性检查由质量部质量专员检查；年度体系的内审及管评由质量部经理组织完成。</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过程改进的方式，通过组织级检查、项目级质量检查、服务交付质量检查、内审和管评、客户回访和满意度调查、其它客户渠道的客户沟通发现改进机会，由质量部的质量专员负责监督各部门的改进工作，并对改进工作进行持续追踪和验证。</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9" w:name="_Toc3515"/>
      <w:bookmarkStart w:id="70" w:name="_Toc11301"/>
      <w:r>
        <w:rPr>
          <w:rFonts w:hint="eastAsia"/>
          <w:lang w:val="en-US" w:eastAsia="zh-CN"/>
        </w:rPr>
        <w:t>交付能力管理</w:t>
      </w:r>
      <w:bookmarkEnd w:id="69"/>
      <w:bookmarkEnd w:id="70"/>
    </w:p>
    <w:p>
      <w:pPr>
        <w:pStyle w:val="a1"/>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交付规划能力</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运维部负责建立标准化的交付流程，包括交付启动、交付计划、交付执行、交付验收等阶段。</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根据合同要求和服务目录，制定详细的交付计划，明确交付范围、里程碑、资源需求和时间节点。</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交付计划应纳入年度运维服务能力管理计划中进行统筹管理。</w:t>
      </w:r>
    </w:p>
    <w:p>
      <w:pPr>
        <w:pStyle w:val="a1"/>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交付资源协调能力</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运维部负责协调内部资源（技术中心、现场工程师、备件库等）按计划推进交付工作。</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对于跨部门协同的交付项目，运维部应建立沟通协调机制，确保资源到位、信息畅通。</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交付过程中遇到的资源瓶颈，及时向上级汇报并协调解决。</w:t>
      </w:r>
    </w:p>
    <w:p>
      <w:pPr>
        <w:pStyle w:val="a1"/>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交付质量控制能力</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运维部负责组织交付前的内部验收，确保交付成果（系统部署、硬件调试、培训服务等）符合客户要求和公司质量标准。</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建立交付成果文档标准，包括《交付确认单》《培训记录》《硬件调试报告》《系统部署记录》等。</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质量部参与重要交付项目的质量检查，对交付成果进行抽样验证。</w:t>
      </w:r>
    </w:p>
    <w:p>
      <w:pPr>
        <w:pStyle w:val="a1"/>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交付风险管理能力</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运维部负责识别交付过程中的潜在风险（如资源不足、技术难点、客户配合度等），提前制定应对措施。</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建立交付问题升级机制，对交付过程中出现的问题，及时协调资源解决，重大问题上报管理层。</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交付完成后进行复盘总结，将经验教训纳入知识库。</w:t>
      </w:r>
    </w:p>
    <w:p>
      <w:pPr>
        <w:pStyle w:val="a1"/>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客户沟通能力</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运维部作为交付阶段的主要客户接口，保持与客户的良好沟通，及时通报交付进展。</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收集客户在交付过程中的需求和反馈，推动内部改进。</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配合质量部进行交付后的客户满意度调查。</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1" w:name="_Toc32300"/>
      <w:bookmarkStart w:id="72" w:name="_Toc28367"/>
      <w:r>
        <w:rPr>
          <w:rFonts w:hint="eastAsia"/>
          <w:lang w:val="en-US" w:eastAsia="zh-CN"/>
        </w:rPr>
        <w:t>应急能力管理</w:t>
      </w:r>
      <w:bookmarkEnd w:id="71"/>
      <w:bookmarkEnd w:id="72"/>
    </w:p>
    <w:p>
      <w:pPr>
        <w:pStyle w:val="a1"/>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应急预案管理能力</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应急管理部负责制定、评审和更新公司级运维应急预案，包括：系统故障、网络中断、机房断电、数据丢失、安全攻击等场景。</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确保应急预案与客户业务需求、服务水平目标（SLA）相匹配。</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定期组织应急预案的评审和修订，保持预案的适用性和有效性。</w:t>
      </w:r>
    </w:p>
    <w:p>
      <w:pPr>
        <w:pStyle w:val="a1"/>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应急组织与演练能力</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应急管理部负责组建应急响应小组，明确小组成员及职责分工。</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制定年度应急演练计划，组织至少每半年一次的应急演练，包括桌面推演和实战演练。</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演练结束后组织复盘总结，分析问题，提出改进措施，并跟踪整改落实。</w:t>
      </w:r>
    </w:p>
    <w:p>
      <w:pPr>
        <w:pStyle w:val="a1"/>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应急响应与处置能力</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应急管理部负责重大突发事件时的应急指挥调度，统筹协调各部门（运维部、技术中心、服务台等）协同处置。</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运维部作为应急响应的执行主体，接到应急指令后立即组织技术人员赶赴现场或启动远程支持。</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执行应急恢复操作，包括系统重启、切换备份、隔离故障、硬件更换等，确保服务快速恢复。</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在应急处置过程中，保持信息传递及时、决策高效、行动有序。</w:t>
      </w:r>
    </w:p>
    <w:p>
      <w:pPr>
        <w:pStyle w:val="a1"/>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灾备与业务连续性能力</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应急管理部负责运维服务相关的灾备体系建设与管理（数据备份、系统冗余、容灾切换）。</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定期组织灾备切换演练，验证灾备系统的可用性和有效性。</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评估业务连续性风险，提出改进建议，保障关键业务在灾难情况下的持续运行。</w:t>
      </w:r>
    </w:p>
    <w:p>
      <w:pPr>
        <w:pStyle w:val="a1"/>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应急复盘与改进能力</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重大应急事件处理后，应急管理部组织复盘分析，查找根本原因，形成《应急事件复盘报告》。</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推动相关部门（运维部、技术中心、质量部）落实改进措施。</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将应急事件处理过程中的经验教训纳入知识库，作为培训和演练的案例素材。</w:t>
      </w:r>
    </w:p>
    <w:p>
      <w:pPr>
        <w:pStyle w:val="a1"/>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应急物资保障能力</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应急管理部负责应急物资（备用设备、应急工具等）的储备、检查和维护，确保应急资源随时可用。</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与运维部备件库协同，建立应急资源调用机制，确保突发事件时能够快速调拨。</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备件库在应急情况下，配合应急管理部快速调拨备件，支持现场抢修。</w:t>
      </w:r>
    </w:p>
    <w:p>
      <w:pPr>
        <w:pStyle w:val="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3" w:name="_Toc21454"/>
      <w:bookmarkStart w:id="74" w:name="_Toc12395"/>
      <w:r>
        <w:rPr>
          <w:rFonts w:hint="default"/>
          <w:lang w:val="en-US" w:eastAsia="zh-CN"/>
        </w:rPr>
        <w:t>过程质量控制</w:t>
      </w:r>
      <w:bookmarkEnd w:id="73"/>
      <w:bookmarkEnd w:id="74"/>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过程控制流程图，如图6-1所示。</w:t>
      </w:r>
    </w:p>
    <w:p>
      <w:pPr>
        <w:pStyle w:val="a1"/>
        <w:bidi w:val="0"/>
        <w:jc w:val="center"/>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5" w:name="_Toc15149"/>
      <w:bookmarkStart w:id="76" w:name="_Toc15689"/>
      <w:r>
        <w:rPr>
          <w:rFonts w:hint="eastAsia"/>
          <w:lang w:val="en-US" w:eastAsia="zh-CN"/>
        </w:rPr>
        <w:t xml:space="preserve"> 质量控制流程图</w:t>
      </w:r>
      <w:bookmarkEnd w:id="75"/>
    </w:p>
    <w:p>
      <w:pPr>
        <w:pStyle w:val="a1"/>
        <w:bidi w:val="0"/>
      </w:pPr>
      <w:r>
        <w:drawing>
          <wp:inline distT="0" distB="0" distL="114300" distR="114300">
            <wp:extent cx="4805045" cy="1113790"/>
            <wp:effectExtent l="0" t="0" r="10795" b="1397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xmlns:r="http://schemas.openxmlformats.org/officeDocument/2006/relationships" r:embed="rId5"/>
                    <a:stretch>
                      <a:fillRect/>
                    </a:stretch>
                  </pic:blipFill>
                  <pic:spPr>
                    <a:xfrm>
                      <a:off x="0" y="0"/>
                      <a:ext cx="4805045" cy="1113790"/>
                    </a:xfrm>
                    <a:prstGeom prst="rect">
                      <a:avLst/>
                    </a:prstGeom>
                    <a:noFill/>
                    <a:ln>
                      <a:noFill/>
                    </a:ln>
                  </pic:spPr>
                </pic:pic>
              </a:graphicData>
            </a:graphic>
          </wp:inline>
        </w:drawing>
      </w:r>
      <w:bookmarkEnd w:id="76"/>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过程质量控制控制流程说明，如表6-1所示。</w:t>
      </w:r>
    </w:p>
    <w:p>
      <w:pPr>
        <w:pStyle w:val="a1"/>
        <w:keepNext/>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7" w:name="_Toc11977"/>
      <w:r>
        <w:rPr>
          <w:rFonts w:hint="eastAsia"/>
          <w:lang w:val="en-US" w:eastAsia="zh-CN"/>
        </w:rPr>
        <w:t xml:space="preserve"> 过程质量控制流程说明</w:t>
      </w:r>
      <w:bookmarkEnd w:id="77"/>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838"/>
        <w:gridCol w:w="1186"/>
        <w:gridCol w:w="3079"/>
        <w:gridCol w:w="1379"/>
        <w:gridCol w:w="1040"/>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857"/>
          <w:tblHeader/>
          <w:jc w:val="center"/>
        </w:trPr>
        <w:tc>
          <w:tcPr>
            <w:tcW w:w="1838" w:type="dxa"/>
            <w:tcBorders>
              <w:top w:val="single" w:sz="4" w:space="0" w:color="auto"/>
              <w:left w:val="single" w:sz="4" w:space="0" w:color="auto"/>
              <w:bottom w:val="nil"/>
              <w:right w:val="nil"/>
            </w:tcBorders>
            <w:shd w:val="clear" w:color="auto" w:fill="auto"/>
            <w:tcMar>
              <w:top w:w="150" w:type="dxa"/>
              <w:left w:w="-1" w:type="dxa"/>
              <w:bottom w:w="150" w:type="dxa"/>
              <w:right w:w="240" w:type="dxa"/>
            </w:tcMar>
            <w:vAlign w:val="center"/>
          </w:tcPr>
          <w:p>
            <w:pPr>
              <w:rPr>
                <w:b/>
                <w:bCs/>
              </w:rPr>
            </w:pPr>
            <w:r>
              <w:rPr>
                <w:rFonts w:hint="default"/>
                <w:b/>
                <w:bCs/>
                <w:lang w:val="en-US" w:eastAsia="zh-CN"/>
              </w:rPr>
              <w:t>步骤</w:t>
            </w:r>
          </w:p>
        </w:tc>
        <w:tc>
          <w:tcPr>
            <w:tcW w:w="118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rPr>
                <w:rFonts w:hint="default"/>
                <w:b/>
                <w:bCs/>
              </w:rPr>
            </w:pPr>
            <w:r>
              <w:rPr>
                <w:rFonts w:hint="default"/>
                <w:b/>
                <w:bCs/>
                <w:lang w:val="en-US" w:eastAsia="zh-CN"/>
              </w:rPr>
              <w:t>输入</w:t>
            </w:r>
          </w:p>
        </w:tc>
        <w:tc>
          <w:tcPr>
            <w:tcW w:w="30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rPr>
                <w:rFonts w:hint="default"/>
                <w:b/>
                <w:bCs/>
              </w:rPr>
            </w:pPr>
            <w:r>
              <w:rPr>
                <w:rFonts w:hint="default"/>
                <w:b/>
                <w:bCs/>
                <w:lang w:val="en-US" w:eastAsia="zh-CN"/>
              </w:rPr>
              <w:t>步骤描述</w:t>
            </w:r>
          </w:p>
        </w:tc>
        <w:tc>
          <w:tcPr>
            <w:tcW w:w="13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rPr>
                <w:rFonts w:hint="default"/>
                <w:b/>
                <w:bCs/>
              </w:rPr>
            </w:pPr>
            <w:r>
              <w:rPr>
                <w:rFonts w:hint="default"/>
                <w:b/>
                <w:bCs/>
                <w:lang w:val="en-US" w:eastAsia="zh-CN"/>
              </w:rPr>
              <w:t>输出</w:t>
            </w:r>
          </w:p>
        </w:tc>
        <w:tc>
          <w:tcPr>
            <w:tcW w:w="1040" w:type="dxa"/>
            <w:tcBorders>
              <w:top w:val="single" w:sz="4" w:space="0" w:color="auto"/>
              <w:left w:val="single" w:sz="4" w:space="0" w:color="auto"/>
              <w:bottom w:val="nil"/>
              <w:right w:val="single" w:sz="4" w:space="0" w:color="auto"/>
            </w:tcBorders>
            <w:shd w:val="clear" w:color="auto" w:fill="auto"/>
            <w:tcMar>
              <w:top w:w="150" w:type="dxa"/>
              <w:left w:w="240" w:type="dxa"/>
              <w:bottom w:w="150" w:type="dxa"/>
              <w:right w:w="240" w:type="dxa"/>
            </w:tcMar>
            <w:vAlign w:val="center"/>
          </w:tcPr>
          <w:p>
            <w:pPr>
              <w:spacing w:line="240" w:lineRule="auto"/>
              <w:rPr>
                <w:rFonts w:hint="default"/>
                <w:b/>
                <w:bCs/>
              </w:rPr>
            </w:pPr>
            <w:r>
              <w:rPr>
                <w:rFonts w:hint="default"/>
                <w:b/>
                <w:bCs/>
                <w:lang w:val="en-US" w:eastAsia="zh-CN"/>
              </w:rPr>
              <w:t>负责人</w:t>
            </w:r>
          </w:p>
        </w:tc>
      </w:tr>
      <w:tr>
        <w:tblPrEx>
          <w:tblW w:w="8522" w:type="dxa"/>
          <w:jc w:val="center"/>
          <w:shd w:val="clear" w:color="auto" w:fill="auto"/>
          <w:tblCellMar>
            <w:top w:w="15" w:type="dxa"/>
            <w:left w:w="15" w:type="dxa"/>
            <w:bottom w:w="15" w:type="dxa"/>
            <w:right w:w="15" w:type="dxa"/>
          </w:tblCellMar>
        </w:tblPrEx>
        <w:trPr>
          <w:trHeight w:val="0"/>
          <w:jc w:val="center"/>
        </w:trPr>
        <w:tc>
          <w:tcPr>
            <w:tcW w:w="1838" w:type="dxa"/>
            <w:tcBorders>
              <w:top w:val="single" w:sz="4" w:space="0" w:color="auto"/>
              <w:left w:val="single" w:sz="4" w:space="0" w:color="auto"/>
              <w:bottom w:val="nil"/>
              <w:right w:val="nil"/>
            </w:tcBorders>
            <w:shd w:val="clear" w:color="auto" w:fill="auto"/>
            <w:tcMar>
              <w:top w:w="150" w:type="dxa"/>
              <w:left w:w="-1" w:type="dxa"/>
              <w:bottom w:w="150" w:type="dxa"/>
              <w:right w:w="240" w:type="dxa"/>
            </w:tcMar>
            <w:vAlign w:val="center"/>
          </w:tcPr>
          <w:p>
            <w:pPr>
              <w:rPr>
                <w:rFonts w:hint="default"/>
              </w:rPr>
            </w:pPr>
            <w:r>
              <w:rPr>
                <w:rFonts w:hint="default"/>
                <w:lang w:val="en-US" w:eastAsia="zh-CN"/>
              </w:rPr>
              <w:t>1. 现有过程评估</w:t>
            </w:r>
          </w:p>
        </w:tc>
        <w:tc>
          <w:tcPr>
            <w:tcW w:w="118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KPI报告、服务级别协议中规定的报告、服务改进计划</w:t>
            </w:r>
          </w:p>
        </w:tc>
        <w:tc>
          <w:tcPr>
            <w:tcW w:w="30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rPr>
                <w:rFonts w:hint="default"/>
                <w:lang w:val="en-US" w:eastAsia="zh-CN"/>
              </w:rPr>
            </w:pPr>
            <w:r>
              <w:rPr>
                <w:rFonts w:hint="default"/>
                <w:lang w:val="en-US" w:eastAsia="zh-CN"/>
              </w:rPr>
              <w:t>对服务级别管理过程中的KPI完成情况进行分析；</w:t>
            </w:r>
          </w:p>
          <w:p>
            <w:pPr>
              <w:rPr>
                <w:rFonts w:hint="default"/>
              </w:rPr>
            </w:pPr>
            <w:r>
              <w:rPr>
                <w:rFonts w:hint="default"/>
                <w:lang w:val="en-US" w:eastAsia="zh-CN"/>
              </w:rPr>
              <w:t>对服务级别履行程度进行差距分析；</w:t>
            </w:r>
          </w:p>
          <w:p>
            <w:pPr>
              <w:rPr>
                <w:rFonts w:hint="default"/>
              </w:rPr>
            </w:pPr>
            <w:r>
              <w:rPr>
                <w:rFonts w:hint="default"/>
                <w:lang w:val="en-US" w:eastAsia="zh-CN"/>
              </w:rPr>
              <w:t>对客户提出的与服务级别管理过程相关的问题、建议和改进计划进行讨论回顾。</w:t>
            </w:r>
          </w:p>
        </w:tc>
        <w:tc>
          <w:tcPr>
            <w:tcW w:w="13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改进项</w:t>
            </w:r>
          </w:p>
        </w:tc>
        <w:tc>
          <w:tcPr>
            <w:tcW w:w="1040" w:type="dxa"/>
            <w:tcBorders>
              <w:top w:val="single" w:sz="4" w:space="0" w:color="auto"/>
              <w:left w:val="single" w:sz="4" w:space="0" w:color="auto"/>
              <w:bottom w:val="nil"/>
              <w:right w:val="single" w:sz="4" w:space="0" w:color="auto"/>
            </w:tcBorders>
            <w:shd w:val="clear" w:color="auto" w:fill="auto"/>
            <w:tcMar>
              <w:top w:w="150" w:type="dxa"/>
              <w:left w:w="240" w:type="dxa"/>
              <w:bottom w:w="150" w:type="dxa"/>
              <w:right w:w="-1" w:type="dxa"/>
            </w:tcMar>
            <w:vAlign w:val="center"/>
          </w:tcPr>
          <w:p>
            <w:pPr>
              <w:rPr>
                <w:rFonts w:hint="default"/>
              </w:rPr>
            </w:pPr>
            <w:r>
              <w:rPr>
                <w:rFonts w:hint="default"/>
                <w:lang w:val="en-US" w:eastAsia="zh-CN"/>
              </w:rPr>
              <w:t>质量部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838" w:type="dxa"/>
            <w:tcBorders>
              <w:top w:val="single" w:sz="4" w:space="0" w:color="auto"/>
              <w:left w:val="single" w:sz="4" w:space="0" w:color="auto"/>
              <w:bottom w:val="nil"/>
              <w:right w:val="nil"/>
            </w:tcBorders>
            <w:shd w:val="clear" w:color="auto" w:fill="auto"/>
            <w:tcMar>
              <w:top w:w="150" w:type="dxa"/>
              <w:left w:w="-1" w:type="dxa"/>
              <w:bottom w:w="150" w:type="dxa"/>
              <w:right w:w="240" w:type="dxa"/>
            </w:tcMar>
            <w:vAlign w:val="center"/>
          </w:tcPr>
          <w:p>
            <w:pPr>
              <w:rPr>
                <w:rFonts w:hint="default"/>
              </w:rPr>
            </w:pPr>
            <w:r>
              <w:rPr>
                <w:rFonts w:hint="default"/>
                <w:lang w:val="en-US" w:eastAsia="zh-CN"/>
              </w:rPr>
              <w:t>2. 制定改进计划</w:t>
            </w:r>
          </w:p>
        </w:tc>
        <w:tc>
          <w:tcPr>
            <w:tcW w:w="118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改进项</w:t>
            </w:r>
          </w:p>
        </w:tc>
        <w:tc>
          <w:tcPr>
            <w:tcW w:w="30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根据回顾结果制定改进计划，计划包括：改进项、需求、改进方案、改进计划周期、时间、特殊要素以及收益、可能造成的影响以及其他外部因素、资源需求、测试和培训计划</w:t>
            </w:r>
          </w:p>
        </w:tc>
        <w:tc>
          <w:tcPr>
            <w:tcW w:w="13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改进计划</w:t>
            </w:r>
          </w:p>
        </w:tc>
        <w:tc>
          <w:tcPr>
            <w:tcW w:w="1040" w:type="dxa"/>
            <w:tcBorders>
              <w:top w:val="single" w:sz="4" w:space="0" w:color="auto"/>
              <w:left w:val="single" w:sz="4" w:space="0" w:color="auto"/>
              <w:bottom w:val="nil"/>
              <w:right w:val="single" w:sz="4" w:space="0" w:color="auto"/>
            </w:tcBorders>
            <w:shd w:val="clear" w:color="auto" w:fill="auto"/>
            <w:tcMar>
              <w:top w:w="150" w:type="dxa"/>
              <w:left w:w="240" w:type="dxa"/>
              <w:bottom w:w="150" w:type="dxa"/>
              <w:right w:w="-1" w:type="dxa"/>
            </w:tcMar>
            <w:vAlign w:val="center"/>
          </w:tcPr>
          <w:p>
            <w:pPr>
              <w:rPr>
                <w:rFonts w:hint="default"/>
              </w:rPr>
            </w:pPr>
            <w:r>
              <w:rPr>
                <w:rFonts w:hint="default"/>
                <w:lang w:val="en-US" w:eastAsia="zh-CN"/>
              </w:rPr>
              <w:t>质量部、各能力域责任部门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838" w:type="dxa"/>
            <w:tcBorders>
              <w:top w:val="single" w:sz="4" w:space="0" w:color="auto"/>
              <w:left w:val="single" w:sz="4" w:space="0" w:color="auto"/>
              <w:bottom w:val="nil"/>
              <w:right w:val="nil"/>
            </w:tcBorders>
            <w:shd w:val="clear" w:color="auto" w:fill="auto"/>
            <w:tcMar>
              <w:top w:w="150" w:type="dxa"/>
              <w:left w:w="-1" w:type="dxa"/>
              <w:bottom w:w="150" w:type="dxa"/>
              <w:right w:w="240" w:type="dxa"/>
            </w:tcMar>
            <w:vAlign w:val="center"/>
          </w:tcPr>
          <w:p>
            <w:pPr>
              <w:rPr>
                <w:rFonts w:hint="default"/>
              </w:rPr>
            </w:pPr>
            <w:r>
              <w:rPr>
                <w:rFonts w:hint="default"/>
                <w:lang w:val="en-US" w:eastAsia="zh-CN"/>
              </w:rPr>
              <w:t>3. 审批改进计划</w:t>
            </w:r>
          </w:p>
        </w:tc>
        <w:tc>
          <w:tcPr>
            <w:tcW w:w="118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改进计划</w:t>
            </w:r>
          </w:p>
        </w:tc>
        <w:tc>
          <w:tcPr>
            <w:tcW w:w="30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rPr>
                <w:rFonts w:hint="default"/>
                <w:lang w:val="en-US" w:eastAsia="zh-CN"/>
              </w:rPr>
            </w:pPr>
            <w:r>
              <w:rPr>
                <w:rFonts w:hint="default"/>
                <w:lang w:val="en-US" w:eastAsia="zh-CN"/>
              </w:rPr>
              <w:t>对执行改进计划进行评估；</w:t>
            </w:r>
          </w:p>
          <w:p>
            <w:pPr>
              <w:rPr>
                <w:rFonts w:hint="default"/>
              </w:rPr>
            </w:pPr>
            <w:r>
              <w:rPr>
                <w:rFonts w:hint="default"/>
                <w:lang w:val="en-US" w:eastAsia="zh-CN"/>
              </w:rPr>
              <w:t>根据已确认执行的改进计划提交变更请求；</w:t>
            </w:r>
          </w:p>
          <w:p>
            <w:pPr>
              <w:rPr>
                <w:rFonts w:hint="default"/>
              </w:rPr>
            </w:pPr>
            <w:r>
              <w:rPr>
                <w:rFonts w:hint="default"/>
                <w:lang w:val="en-US" w:eastAsia="zh-CN"/>
              </w:rPr>
              <w:t>依据变更管理过程对其进行审批。</w:t>
            </w:r>
          </w:p>
        </w:tc>
        <w:tc>
          <w:tcPr>
            <w:tcW w:w="13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审批后的改进计划、变更请求</w:t>
            </w:r>
          </w:p>
        </w:tc>
        <w:tc>
          <w:tcPr>
            <w:tcW w:w="1040" w:type="dxa"/>
            <w:tcBorders>
              <w:top w:val="single" w:sz="4" w:space="0" w:color="auto"/>
              <w:left w:val="single" w:sz="4" w:space="0" w:color="auto"/>
              <w:bottom w:val="nil"/>
              <w:right w:val="single" w:sz="4" w:space="0" w:color="auto"/>
            </w:tcBorders>
            <w:shd w:val="clear" w:color="auto" w:fill="auto"/>
            <w:tcMar>
              <w:top w:w="150" w:type="dxa"/>
              <w:left w:w="240" w:type="dxa"/>
              <w:bottom w:w="150" w:type="dxa"/>
              <w:right w:w="-1" w:type="dxa"/>
            </w:tcMar>
            <w:vAlign w:val="center"/>
          </w:tcPr>
          <w:p>
            <w:pPr>
              <w:rPr>
                <w:rFonts w:hint="default"/>
              </w:rPr>
            </w:pPr>
            <w:r>
              <w:rPr>
                <w:rFonts w:hint="default"/>
                <w:lang w:val="en-US" w:eastAsia="zh-CN"/>
              </w:rPr>
              <w:t>质量部、管理层</w:t>
            </w:r>
          </w:p>
        </w:tc>
      </w:tr>
      <w:tr>
        <w:tblPrEx>
          <w:tblW w:w="8522" w:type="dxa"/>
          <w:jc w:val="center"/>
          <w:shd w:val="clear" w:color="auto" w:fill="auto"/>
          <w:tblCellMar>
            <w:top w:w="15" w:type="dxa"/>
            <w:left w:w="15" w:type="dxa"/>
            <w:bottom w:w="15" w:type="dxa"/>
            <w:right w:w="15" w:type="dxa"/>
          </w:tblCellMar>
        </w:tblPrEx>
        <w:trPr>
          <w:trHeight w:val="0"/>
          <w:jc w:val="center"/>
        </w:trPr>
        <w:tc>
          <w:tcPr>
            <w:tcW w:w="1838" w:type="dxa"/>
            <w:tcBorders>
              <w:top w:val="single" w:sz="4" w:space="0" w:color="auto"/>
              <w:left w:val="single" w:sz="4" w:space="0" w:color="auto"/>
              <w:bottom w:val="nil"/>
              <w:right w:val="nil"/>
            </w:tcBorders>
            <w:shd w:val="clear" w:color="auto" w:fill="auto"/>
            <w:tcMar>
              <w:top w:w="150" w:type="dxa"/>
              <w:left w:w="-1" w:type="dxa"/>
              <w:bottom w:w="150" w:type="dxa"/>
              <w:right w:w="240" w:type="dxa"/>
            </w:tcMar>
            <w:vAlign w:val="center"/>
          </w:tcPr>
          <w:p>
            <w:pPr>
              <w:rPr>
                <w:rFonts w:hint="default"/>
              </w:rPr>
            </w:pPr>
            <w:r>
              <w:rPr>
                <w:rFonts w:hint="default"/>
                <w:lang w:val="en-US" w:eastAsia="zh-CN"/>
              </w:rPr>
              <w:t>4. 执行改进计划</w:t>
            </w:r>
          </w:p>
        </w:tc>
        <w:tc>
          <w:tcPr>
            <w:tcW w:w="118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被批准的改进计划和变更请求</w:t>
            </w:r>
          </w:p>
        </w:tc>
        <w:tc>
          <w:tcPr>
            <w:tcW w:w="30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调动资源组织相关人员依据计划执行被批准的改进计划和变更请求。</w:t>
            </w:r>
          </w:p>
        </w:tc>
        <w:tc>
          <w:tcPr>
            <w:tcW w:w="13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实施后的改进计划、改进效果</w:t>
            </w:r>
          </w:p>
        </w:tc>
        <w:tc>
          <w:tcPr>
            <w:tcW w:w="1040" w:type="dxa"/>
            <w:tcBorders>
              <w:top w:val="single" w:sz="4" w:space="0" w:color="auto"/>
              <w:left w:val="single" w:sz="4" w:space="0" w:color="auto"/>
              <w:bottom w:val="nil"/>
              <w:right w:val="single" w:sz="4" w:space="0" w:color="auto"/>
            </w:tcBorders>
            <w:shd w:val="clear" w:color="auto" w:fill="auto"/>
            <w:tcMar>
              <w:top w:w="150" w:type="dxa"/>
              <w:left w:w="240" w:type="dxa"/>
              <w:bottom w:w="150" w:type="dxa"/>
              <w:right w:w="-1" w:type="dxa"/>
            </w:tcMar>
            <w:vAlign w:val="center"/>
          </w:tcPr>
          <w:p>
            <w:pPr>
              <w:rPr>
                <w:rFonts w:hint="default"/>
              </w:rPr>
            </w:pPr>
            <w:r>
              <w:rPr>
                <w:rFonts w:hint="default"/>
                <w:lang w:val="en-US" w:eastAsia="zh-CN"/>
              </w:rPr>
              <w:t>各能力域责任部门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838" w:type="dxa"/>
            <w:tcBorders>
              <w:top w:val="single" w:sz="4" w:space="0" w:color="auto"/>
              <w:left w:val="single" w:sz="4" w:space="0" w:color="auto"/>
              <w:bottom w:val="single" w:sz="4" w:space="0" w:color="auto"/>
              <w:right w:val="nil"/>
            </w:tcBorders>
            <w:shd w:val="clear" w:color="auto" w:fill="auto"/>
            <w:tcMar>
              <w:top w:w="150" w:type="dxa"/>
              <w:left w:w="-1" w:type="dxa"/>
              <w:bottom w:w="150" w:type="dxa"/>
              <w:right w:w="240" w:type="dxa"/>
            </w:tcMar>
            <w:vAlign w:val="center"/>
          </w:tcPr>
          <w:p>
            <w:pPr>
              <w:rPr>
                <w:rFonts w:hint="default"/>
              </w:rPr>
            </w:pPr>
            <w:r>
              <w:rPr>
                <w:rFonts w:hint="default"/>
                <w:lang w:val="en-US" w:eastAsia="zh-CN"/>
              </w:rPr>
              <w:t>5. 回顾</w:t>
            </w:r>
          </w:p>
        </w:tc>
        <w:tc>
          <w:tcPr>
            <w:tcW w:w="1186" w:type="dxa"/>
            <w:tcBorders>
              <w:top w:val="single" w:sz="4" w:space="0" w:color="auto"/>
              <w:left w:val="single" w:sz="4" w:space="0" w:color="auto"/>
              <w:bottom w:val="single" w:sz="4" w:space="0" w:color="auto"/>
              <w:right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实施后的改进计划、改进结果</w:t>
            </w:r>
          </w:p>
        </w:tc>
        <w:tc>
          <w:tcPr>
            <w:tcW w:w="3079" w:type="dxa"/>
            <w:tcBorders>
              <w:top w:val="single" w:sz="4" w:space="0" w:color="auto"/>
              <w:left w:val="single" w:sz="4" w:space="0" w:color="auto"/>
              <w:bottom w:val="single" w:sz="4" w:space="0" w:color="auto"/>
              <w:right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对改进后的结果进行回顾，评估改进计划是否成功，存在哪些待改进项。依据PDCA方法论再次执行步骤1对现有过程进行评估，对过程进行持续改进，起到对过程质量控制的作用。</w:t>
            </w:r>
          </w:p>
        </w:tc>
        <w:tc>
          <w:tcPr>
            <w:tcW w:w="1379" w:type="dxa"/>
            <w:tcBorders>
              <w:top w:val="single" w:sz="4" w:space="0" w:color="auto"/>
              <w:left w:val="single" w:sz="4" w:space="0" w:color="auto"/>
              <w:bottom w:val="single" w:sz="4" w:space="0" w:color="auto"/>
              <w:right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回顾结果、关闭的变更请求和服务改进计划</w:t>
            </w:r>
          </w:p>
        </w:tc>
        <w:tc>
          <w:tcPr>
            <w:tcW w:w="1040" w:type="dxa"/>
            <w:tcBorders>
              <w:top w:val="single" w:sz="4" w:space="0" w:color="auto"/>
              <w:left w:val="single" w:sz="4" w:space="0" w:color="auto"/>
              <w:bottom w:val="single" w:sz="4" w:space="0" w:color="auto"/>
              <w:right w:val="single" w:sz="4" w:space="0" w:color="auto"/>
            </w:tcBorders>
            <w:shd w:val="clear" w:color="auto" w:fill="auto"/>
            <w:tcMar>
              <w:top w:w="150" w:type="dxa"/>
              <w:left w:w="240" w:type="dxa"/>
              <w:bottom w:w="150" w:type="dxa"/>
              <w:right w:w="-1" w:type="dxa"/>
            </w:tcMar>
            <w:vAlign w:val="center"/>
          </w:tcPr>
          <w:p>
            <w:pPr>
              <w:rPr>
                <w:rFonts w:hint="default"/>
              </w:rPr>
            </w:pPr>
            <w:r>
              <w:rPr>
                <w:rFonts w:hint="default"/>
                <w:lang w:val="en-US" w:eastAsia="zh-CN"/>
              </w:rPr>
              <w:t>质量部、各能力域责任部门</w:t>
            </w:r>
          </w:p>
        </w:tc>
      </w:tr>
    </w:tbl>
    <w:p>
      <w:pPr>
        <w:pStyle w:val="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8" w:name="_Toc28966"/>
      <w:bookmarkStart w:id="79" w:name="_Toc23627"/>
      <w:r>
        <w:rPr>
          <w:rFonts w:hint="default"/>
          <w:lang w:val="en-US" w:eastAsia="zh-CN"/>
        </w:rPr>
        <w:t>能力计划遵循的原则</w:t>
      </w:r>
      <w:bookmarkEnd w:id="78"/>
      <w:bookmarkEnd w:id="79"/>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必须遵循政策法规的要求，满足相应的法规和过程、技术标准、行业规范。</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关键业务优先原则，有限的能力要素必须保证关键业务过程的支持和恢复。</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风险管理原则，树立风险无处不在的意识，有效地分析和管理风险。</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面向体系化的管理原则，制定和实施完善的能力管理，并遵从过程进行活动和管理。</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质量管理原则，遵循计划、实施、检查、改进的质量管理周期过程。</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成本合理原则，能力要素总是有限的，尤其对于能力管理，更是要考虑成本和能力的平衡，需求与提供之间的平衡。</w:t>
      </w:r>
    </w:p>
    <w:p>
      <w:pPr>
        <w:pStyle w:val="a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能力管理策划过程中，质量部、综合管理部、技术中心、运维部等部门应共同参与。</w:t>
      </w:r>
    </w:p>
    <w:p>
      <w:pPr>
        <w:pStyle w:val="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0" w:name="_Toc16894"/>
      <w:bookmarkStart w:id="81" w:name="_Toc8472"/>
      <w:r>
        <w:rPr>
          <w:rFonts w:hint="default"/>
          <w:lang w:val="en-US" w:eastAsia="zh-CN"/>
        </w:rPr>
        <w:t>输入</w:t>
      </w:r>
      <w:bookmarkEnd w:id="80"/>
      <w:bookmarkEnd w:id="81"/>
    </w:p>
    <w:p>
      <w:pPr>
        <w:pStyle w:val="a1"/>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组织战略</w:t>
      </w:r>
    </w:p>
    <w:p>
      <w:pPr>
        <w:pStyle w:val="a1"/>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运维服务管理体系目标和范围</w:t>
      </w:r>
    </w:p>
    <w:p>
      <w:pPr>
        <w:pStyle w:val="a1"/>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服务管理方针、政策</w:t>
      </w:r>
    </w:p>
    <w:p>
      <w:pPr>
        <w:pStyle w:val="a1"/>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相关方的需求和期望</w:t>
      </w:r>
    </w:p>
    <w:p>
      <w:pPr>
        <w:pStyle w:val="a1"/>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服务目录</w:t>
      </w:r>
    </w:p>
    <w:p>
      <w:pPr>
        <w:pStyle w:val="a1"/>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服务级别协议</w:t>
      </w:r>
    </w:p>
    <w:p>
      <w:pPr>
        <w:pStyle w:val="a1"/>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组织架构及职责、权限</w:t>
      </w:r>
    </w:p>
    <w:p>
      <w:pPr>
        <w:pStyle w:val="a1"/>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适用的法律、法规及要求</w:t>
      </w:r>
    </w:p>
    <w:p>
      <w:pPr>
        <w:pStyle w:val="a1"/>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能力需求分析报告</w:t>
      </w:r>
    </w:p>
    <w:p>
      <w:pPr>
        <w:pStyle w:val="a1"/>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差距分析报告</w:t>
      </w:r>
    </w:p>
    <w:p>
      <w:pPr>
        <w:pStyle w:val="a1"/>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能力改进方案</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F0965910"/>
    <w:multiLevelType w:val="singleLevel"/>
    <w:tmpl w:val="F0965910"/>
    <w:lvl w:ilvl="0">
      <w:start w:val="1"/>
      <w:numFmt w:val="decimal"/>
      <w:lvlText w:val="%1."/>
      <w:lvlJc w:val="left"/>
      <w:pPr>
        <w:ind w:left="425" w:hanging="425"/>
      </w:pPr>
      <w:rPr>
        <w:rFonts w:hint="default"/>
      </w:rPr>
    </w:lvl>
  </w:abstractNum>
  <w:abstractNum w:abstractNumId="2">
    <w:nsid w:val="106CB73C"/>
    <w:multiLevelType w:val="singleLevel"/>
    <w:tmpl w:val="106CB73C"/>
    <w:lvl w:ilvl="0">
      <w:start w:val="1"/>
      <w:numFmt w:val="decimal"/>
      <w:lvlText w:val="%1."/>
      <w:lvlJc w:val="left"/>
      <w:pPr>
        <w:ind w:left="425" w:hanging="425"/>
      </w:pPr>
      <w:rPr>
        <w:rFonts w:hint="default"/>
      </w:rPr>
    </w:lvl>
  </w:abstractNum>
  <w:abstractNum w:abstractNumId="3">
    <w:nsid w:val="22BE1BE0"/>
    <w:multiLevelType w:val="singleLevel"/>
    <w:tmpl w:val="22BE1BE0"/>
    <w:lvl w:ilvl="0">
      <w:start w:val="1"/>
      <w:numFmt w:val="decimal"/>
      <w:lvlText w:val="%1."/>
      <w:lvlJc w:val="left"/>
      <w:pPr>
        <w:ind w:left="425" w:hanging="425"/>
      </w:pPr>
      <w:rPr>
        <w:rFonts w:hint="default"/>
      </w:rPr>
    </w:lvl>
  </w:abstractNum>
  <w:abstractNum w:abstractNumId="4">
    <w:nsid w:val="2EA0F011"/>
    <w:multiLevelType w:val="singleLevel"/>
    <w:tmpl w:val="2EA0F011"/>
    <w:lvl w:ilvl="0">
      <w:start w:val="1"/>
      <w:numFmt w:val="decimal"/>
      <w:lvlText w:val="%1."/>
      <w:lvlJc w:val="left"/>
      <w:pPr>
        <w:ind w:left="425" w:hanging="425"/>
      </w:pPr>
      <w:rPr>
        <w:rFonts w:hint="default"/>
      </w:rPr>
    </w:lvl>
  </w:abstractNum>
  <w:abstractNum w:abstractNumId="5">
    <w:nsid w:val="357AF1E9"/>
    <w:multiLevelType w:val="singleLevel"/>
    <w:tmpl w:val="357AF1E9"/>
    <w:lvl w:ilvl="0">
      <w:start w:val="1"/>
      <w:numFmt w:val="decimal"/>
      <w:lvlText w:val="%1."/>
      <w:lvlJc w:val="left"/>
      <w:pPr>
        <w:ind w:left="425" w:hanging="425"/>
      </w:pPr>
      <w:rPr>
        <w:rFonts w:hint="default"/>
      </w:rPr>
    </w:lvl>
  </w:abstractNum>
  <w:abstractNum w:abstractNumId="6">
    <w:nsid w:val="55A7C71C"/>
    <w:multiLevelType w:val="singleLevel"/>
    <w:tmpl w:val="55A7C71C"/>
    <w:lvl w:ilvl="0">
      <w:start w:val="1"/>
      <w:numFmt w:val="decimal"/>
      <w:lvlText w:val="%1."/>
      <w:lvlJc w:val="left"/>
      <w:pPr>
        <w:ind w:left="425" w:hanging="425"/>
      </w:pPr>
      <w:rPr>
        <w:rFonts w:hint="default"/>
      </w:rPr>
    </w:lvl>
  </w:abstractNum>
  <w:abstractNum w:abstractNumId="7">
    <w:nsid w:val="713DB514"/>
    <w:multiLevelType w:val="singleLevel"/>
    <w:tmpl w:val="713DB514"/>
    <w:lvl w:ilvl="0">
      <w:start w:val="1"/>
      <w:numFmt w:val="decimal"/>
      <w:lvlText w:val="%1."/>
      <w:lvlJc w:val="left"/>
      <w:pPr>
        <w:ind w:left="425" w:hanging="425"/>
      </w:pPr>
      <w:rPr>
        <w:rFonts w:hint="default"/>
      </w:rPr>
    </w:lvl>
  </w:abstractNum>
  <w:num w:numId="1">
    <w:abstractNumId w:val="0"/>
  </w:num>
  <w:num w:numId="2">
    <w:abstractNumId w:val="7"/>
  </w:num>
  <w:num w:numId="3">
    <w:abstractNumId w:val="6"/>
  </w:num>
  <w:num w:numId="4">
    <w:abstractNumId w:val="5"/>
  </w:num>
  <w:num w:numId="5">
    <w:abstractNumId w:val="3"/>
  </w:num>
  <w:num w:numId="6">
    <w:abstractNumId w:val="2"/>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aption">
    <w:name w:val="caption"/>
    <w:basedOn w:val="Normal"/>
    <w:next w:val="Normal"/>
    <w:semiHidden/>
    <w:unhideWhenUsed/>
    <w:qFormat/>
    <w:rPr>
      <w:rFonts w:ascii="Arial" w:eastAsia="黑体" w:hAnsi="Arial"/>
      <w:sz w:val="20"/>
    </w:r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22</Pages>
  <Words>8294</Words>
  <Characters>8528</Characters>
  <Application>Microsoft Office Word</Application>
  <DocSecurity>0</DocSecurity>
  <Lines>0</Lines>
  <Paragraphs>0</Paragraphs>
  <ScaleCrop>false</ScaleCrop>
  <Company/>
  <LinksUpToDate>false</LinksUpToDate>
  <CharactersWithSpaces>8701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2026-03-17T10:57:06Z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