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A44C0">
      <w:pPr>
        <w:pStyle w:val="26"/>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7428D11">
      <w:pPr>
        <w:pStyle w:val="27"/>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内审管理制度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1227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3777BD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C9CC5A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TJTY-ITSS-0401</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05867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15653A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79C4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FA5829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6BE6E4B">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魏娜杉</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4FC5A9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7EBEF3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4D6D2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B545D8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EF0E249">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19C810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4901365">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3237C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F5614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4BBE059">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CE335D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3C0C82D">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70C9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ADE341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418508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F13989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22C9AB">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0E1A1B8D">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030BF459">
      <w:pPr>
        <w:pStyle w:val="3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29F9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530ED5D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3ED483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07B5F6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0EBCF1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65978B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7B3D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5AFACF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108D2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8E8543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魏娜杉</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63D2C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F3BCCA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0A8AB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20E1FD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48A8B6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6988A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311CF8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1953E0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2062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B39279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952A47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6F7D31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522D5D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5B218E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8340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3453A4C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6440A1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01277A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4649EF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349F87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0382EB7A">
      <w:pPr>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C815A0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BD542D7">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_Toc27135 </w:instrText>
          </w:r>
          <w:r>
            <w:fldChar w:fldCharType="separate"/>
          </w:r>
          <w:r>
            <w:rPr>
              <w:rFonts w:hint="default"/>
              <w:lang w:val="en-US" w:eastAsia="zh-CN"/>
            </w:rPr>
            <w:t>1. 目的</w:t>
          </w:r>
          <w:r>
            <w:tab/>
          </w:r>
          <w:r>
            <w:fldChar w:fldCharType="begin"/>
          </w:r>
          <w:r>
            <w:instrText xml:space="preserve"> PAGEREF _Toc27135 \h </w:instrText>
          </w:r>
          <w:r>
            <w:fldChar w:fldCharType="separate"/>
          </w:r>
          <w:r>
            <w:t>4</w:t>
          </w:r>
          <w:r>
            <w:fldChar w:fldCharType="end"/>
          </w:r>
          <w:r>
            <w:fldChar w:fldCharType="end"/>
          </w:r>
        </w:p>
        <w:p w14:paraId="1148B6A6">
          <w:pPr>
            <w:pStyle w:val="16"/>
            <w:tabs>
              <w:tab w:val="right" w:leader="dot" w:pos="8306"/>
            </w:tabs>
          </w:pPr>
          <w:r>
            <w:fldChar w:fldCharType="begin"/>
          </w:r>
          <w:r>
            <w:instrText xml:space="preserve"> HYPERLINK \l _Toc27241 </w:instrText>
          </w:r>
          <w:r>
            <w:fldChar w:fldCharType="separate"/>
          </w:r>
          <w:r>
            <w:rPr>
              <w:rFonts w:hint="default"/>
              <w:lang w:val="en-US" w:eastAsia="zh-CN"/>
            </w:rPr>
            <w:t>2. 范围</w:t>
          </w:r>
          <w:r>
            <w:tab/>
          </w:r>
          <w:r>
            <w:fldChar w:fldCharType="begin"/>
          </w:r>
          <w:r>
            <w:instrText xml:space="preserve"> PAGEREF _Toc27241 \h </w:instrText>
          </w:r>
          <w:r>
            <w:fldChar w:fldCharType="separate"/>
          </w:r>
          <w:r>
            <w:t>4</w:t>
          </w:r>
          <w:r>
            <w:fldChar w:fldCharType="end"/>
          </w:r>
          <w:r>
            <w:fldChar w:fldCharType="end"/>
          </w:r>
        </w:p>
        <w:p w14:paraId="7447E712">
          <w:pPr>
            <w:pStyle w:val="16"/>
            <w:tabs>
              <w:tab w:val="right" w:leader="dot" w:pos="8306"/>
            </w:tabs>
          </w:pPr>
          <w:r>
            <w:fldChar w:fldCharType="begin"/>
          </w:r>
          <w:r>
            <w:instrText xml:space="preserve"> HYPERLINK \l _Toc21612 </w:instrText>
          </w:r>
          <w:r>
            <w:fldChar w:fldCharType="separate"/>
          </w:r>
          <w:r>
            <w:rPr>
              <w:rFonts w:hint="default"/>
              <w:lang w:val="en-US" w:eastAsia="zh-CN"/>
            </w:rPr>
            <w:t>3. 职责与权限</w:t>
          </w:r>
          <w:r>
            <w:tab/>
          </w:r>
          <w:r>
            <w:fldChar w:fldCharType="begin"/>
          </w:r>
          <w:r>
            <w:instrText xml:space="preserve"> PAGEREF _Toc21612 \h </w:instrText>
          </w:r>
          <w:r>
            <w:fldChar w:fldCharType="separate"/>
          </w:r>
          <w:r>
            <w:t>4</w:t>
          </w:r>
          <w:r>
            <w:fldChar w:fldCharType="end"/>
          </w:r>
          <w:r>
            <w:fldChar w:fldCharType="end"/>
          </w:r>
        </w:p>
        <w:p w14:paraId="12AA326C">
          <w:pPr>
            <w:pStyle w:val="18"/>
            <w:tabs>
              <w:tab w:val="right" w:leader="dot" w:pos="8306"/>
            </w:tabs>
          </w:pPr>
          <w:r>
            <w:fldChar w:fldCharType="begin"/>
          </w:r>
          <w:r>
            <w:instrText xml:space="preserve"> HYPERLINK \l _Toc18321 </w:instrText>
          </w:r>
          <w:r>
            <w:fldChar w:fldCharType="separate"/>
          </w:r>
          <w:r>
            <w:rPr>
              <w:rFonts w:hint="default"/>
              <w:lang w:val="en-US" w:eastAsia="zh-CN"/>
            </w:rPr>
            <w:t>3.1. 管理层</w:t>
          </w:r>
          <w:r>
            <w:tab/>
          </w:r>
          <w:r>
            <w:fldChar w:fldCharType="begin"/>
          </w:r>
          <w:r>
            <w:instrText xml:space="preserve"> PAGEREF _Toc18321 \h </w:instrText>
          </w:r>
          <w:r>
            <w:fldChar w:fldCharType="separate"/>
          </w:r>
          <w:r>
            <w:t>4</w:t>
          </w:r>
          <w:r>
            <w:fldChar w:fldCharType="end"/>
          </w:r>
          <w:r>
            <w:fldChar w:fldCharType="end"/>
          </w:r>
        </w:p>
        <w:p w14:paraId="4FF11FD8">
          <w:pPr>
            <w:pStyle w:val="18"/>
            <w:tabs>
              <w:tab w:val="right" w:leader="dot" w:pos="8306"/>
            </w:tabs>
          </w:pPr>
          <w:r>
            <w:fldChar w:fldCharType="begin"/>
          </w:r>
          <w:r>
            <w:instrText xml:space="preserve"> HYPERLINK \l _Toc16833 </w:instrText>
          </w:r>
          <w:r>
            <w:fldChar w:fldCharType="separate"/>
          </w:r>
          <w:r>
            <w:rPr>
              <w:rFonts w:hint="default"/>
              <w:lang w:val="en-US" w:eastAsia="zh-CN"/>
            </w:rPr>
            <w:t>3.2. 质量部</w:t>
          </w:r>
          <w:r>
            <w:tab/>
          </w:r>
          <w:r>
            <w:fldChar w:fldCharType="begin"/>
          </w:r>
          <w:r>
            <w:instrText xml:space="preserve"> PAGEREF _Toc16833 \h </w:instrText>
          </w:r>
          <w:r>
            <w:fldChar w:fldCharType="separate"/>
          </w:r>
          <w:r>
            <w:t>4</w:t>
          </w:r>
          <w:r>
            <w:fldChar w:fldCharType="end"/>
          </w:r>
          <w:r>
            <w:fldChar w:fldCharType="end"/>
          </w:r>
        </w:p>
        <w:p w14:paraId="166CF41C">
          <w:pPr>
            <w:pStyle w:val="18"/>
            <w:tabs>
              <w:tab w:val="right" w:leader="dot" w:pos="8306"/>
            </w:tabs>
          </w:pPr>
          <w:r>
            <w:fldChar w:fldCharType="begin"/>
          </w:r>
          <w:r>
            <w:instrText xml:space="preserve"> HYPERLINK \l _Toc25282 </w:instrText>
          </w:r>
          <w:r>
            <w:fldChar w:fldCharType="separate"/>
          </w:r>
          <w:r>
            <w:rPr>
              <w:rFonts w:hint="default"/>
              <w:lang w:val="en-US" w:eastAsia="zh-CN"/>
            </w:rPr>
            <w:t>3.3. 运维部</w:t>
          </w:r>
          <w:r>
            <w:tab/>
          </w:r>
          <w:r>
            <w:fldChar w:fldCharType="begin"/>
          </w:r>
          <w:r>
            <w:instrText xml:space="preserve"> PAGEREF _Toc25282 \h </w:instrText>
          </w:r>
          <w:r>
            <w:fldChar w:fldCharType="separate"/>
          </w:r>
          <w:r>
            <w:t>4</w:t>
          </w:r>
          <w:r>
            <w:fldChar w:fldCharType="end"/>
          </w:r>
          <w:r>
            <w:fldChar w:fldCharType="end"/>
          </w:r>
        </w:p>
        <w:p w14:paraId="20127A06">
          <w:pPr>
            <w:pStyle w:val="18"/>
            <w:tabs>
              <w:tab w:val="right" w:leader="dot" w:pos="8306"/>
            </w:tabs>
          </w:pPr>
          <w:r>
            <w:fldChar w:fldCharType="begin"/>
          </w:r>
          <w:r>
            <w:instrText xml:space="preserve"> HYPERLINK \l _Toc29119 </w:instrText>
          </w:r>
          <w:r>
            <w:fldChar w:fldCharType="separate"/>
          </w:r>
          <w:r>
            <w:rPr>
              <w:rFonts w:hint="default"/>
              <w:lang w:val="en-US" w:eastAsia="zh-CN"/>
            </w:rPr>
            <w:t>3.4. 技术中心</w:t>
          </w:r>
          <w:r>
            <w:tab/>
          </w:r>
          <w:r>
            <w:fldChar w:fldCharType="begin"/>
          </w:r>
          <w:r>
            <w:instrText xml:space="preserve"> PAGEREF _Toc29119 \h </w:instrText>
          </w:r>
          <w:r>
            <w:fldChar w:fldCharType="separate"/>
          </w:r>
          <w:r>
            <w:t>5</w:t>
          </w:r>
          <w:r>
            <w:fldChar w:fldCharType="end"/>
          </w:r>
          <w:r>
            <w:fldChar w:fldCharType="end"/>
          </w:r>
        </w:p>
        <w:p w14:paraId="0CF37BDF">
          <w:pPr>
            <w:pStyle w:val="18"/>
            <w:tabs>
              <w:tab w:val="right" w:leader="dot" w:pos="8306"/>
            </w:tabs>
          </w:pPr>
          <w:r>
            <w:fldChar w:fldCharType="begin"/>
          </w:r>
          <w:r>
            <w:instrText xml:space="preserve"> HYPERLINK \l _Toc19644 </w:instrText>
          </w:r>
          <w:r>
            <w:fldChar w:fldCharType="separate"/>
          </w:r>
          <w:r>
            <w:rPr>
              <w:rFonts w:hint="default"/>
              <w:lang w:val="en-US" w:eastAsia="zh-CN"/>
            </w:rPr>
            <w:t>3.5. 综合管理部</w:t>
          </w:r>
          <w:r>
            <w:tab/>
          </w:r>
          <w:r>
            <w:fldChar w:fldCharType="begin"/>
          </w:r>
          <w:r>
            <w:instrText xml:space="preserve"> PAGEREF _Toc19644 \h </w:instrText>
          </w:r>
          <w:r>
            <w:fldChar w:fldCharType="separate"/>
          </w:r>
          <w:r>
            <w:t>5</w:t>
          </w:r>
          <w:r>
            <w:fldChar w:fldCharType="end"/>
          </w:r>
          <w:r>
            <w:fldChar w:fldCharType="end"/>
          </w:r>
        </w:p>
        <w:p w14:paraId="3E44A657">
          <w:pPr>
            <w:pStyle w:val="18"/>
            <w:tabs>
              <w:tab w:val="right" w:leader="dot" w:pos="8306"/>
            </w:tabs>
          </w:pPr>
          <w:r>
            <w:fldChar w:fldCharType="begin"/>
          </w:r>
          <w:r>
            <w:instrText xml:space="preserve"> HYPERLINK \l _Toc18970 </w:instrText>
          </w:r>
          <w:r>
            <w:fldChar w:fldCharType="separate"/>
          </w:r>
          <w:r>
            <w:rPr>
              <w:rFonts w:hint="default"/>
              <w:lang w:val="en-US" w:eastAsia="zh-CN"/>
            </w:rPr>
            <w:t>3.6. 采购部</w:t>
          </w:r>
          <w:r>
            <w:tab/>
          </w:r>
          <w:r>
            <w:fldChar w:fldCharType="begin"/>
          </w:r>
          <w:r>
            <w:instrText xml:space="preserve"> PAGEREF _Toc18970 \h </w:instrText>
          </w:r>
          <w:r>
            <w:fldChar w:fldCharType="separate"/>
          </w:r>
          <w:r>
            <w:t>5</w:t>
          </w:r>
          <w:r>
            <w:fldChar w:fldCharType="end"/>
          </w:r>
          <w:r>
            <w:fldChar w:fldCharType="end"/>
          </w:r>
        </w:p>
        <w:p w14:paraId="113BE2C4">
          <w:pPr>
            <w:pStyle w:val="18"/>
            <w:tabs>
              <w:tab w:val="right" w:leader="dot" w:pos="8306"/>
            </w:tabs>
          </w:pPr>
          <w:r>
            <w:fldChar w:fldCharType="begin"/>
          </w:r>
          <w:r>
            <w:instrText xml:space="preserve"> HYPERLINK \l _Toc29811 </w:instrText>
          </w:r>
          <w:r>
            <w:fldChar w:fldCharType="separate"/>
          </w:r>
          <w:r>
            <w:rPr>
              <w:rFonts w:hint="default"/>
              <w:lang w:val="en-US" w:eastAsia="zh-CN"/>
            </w:rPr>
            <w:t>3.7. 应急管理部</w:t>
          </w:r>
          <w:r>
            <w:tab/>
          </w:r>
          <w:r>
            <w:fldChar w:fldCharType="begin"/>
          </w:r>
          <w:r>
            <w:instrText xml:space="preserve"> PAGEREF _Toc29811 \h </w:instrText>
          </w:r>
          <w:r>
            <w:fldChar w:fldCharType="separate"/>
          </w:r>
          <w:r>
            <w:t>5</w:t>
          </w:r>
          <w:r>
            <w:fldChar w:fldCharType="end"/>
          </w:r>
          <w:r>
            <w:fldChar w:fldCharType="end"/>
          </w:r>
        </w:p>
        <w:p w14:paraId="5ABB1C1F">
          <w:pPr>
            <w:pStyle w:val="16"/>
            <w:tabs>
              <w:tab w:val="right" w:leader="dot" w:pos="8306"/>
            </w:tabs>
          </w:pPr>
          <w:r>
            <w:fldChar w:fldCharType="begin"/>
          </w:r>
          <w:r>
            <w:instrText xml:space="preserve"> HYPERLINK \l _Toc26049 </w:instrText>
          </w:r>
          <w:r>
            <w:fldChar w:fldCharType="separate"/>
          </w:r>
          <w:r>
            <w:rPr>
              <w:rFonts w:hint="default"/>
              <w:lang w:val="en-US" w:eastAsia="zh-CN"/>
            </w:rPr>
            <w:t>4. 内审活动流程</w:t>
          </w:r>
          <w:r>
            <w:tab/>
          </w:r>
          <w:r>
            <w:fldChar w:fldCharType="begin"/>
          </w:r>
          <w:r>
            <w:instrText xml:space="preserve"> PAGEREF _Toc26049 \h </w:instrText>
          </w:r>
          <w:r>
            <w:fldChar w:fldCharType="separate"/>
          </w:r>
          <w:r>
            <w:t>6</w:t>
          </w:r>
          <w:r>
            <w:fldChar w:fldCharType="end"/>
          </w:r>
          <w:r>
            <w:fldChar w:fldCharType="end"/>
          </w:r>
        </w:p>
        <w:p w14:paraId="78D79D7C">
          <w:pPr>
            <w:pStyle w:val="18"/>
            <w:tabs>
              <w:tab w:val="right" w:leader="dot" w:pos="8306"/>
            </w:tabs>
          </w:pPr>
          <w:r>
            <w:fldChar w:fldCharType="begin"/>
          </w:r>
          <w:r>
            <w:instrText xml:space="preserve"> HYPERLINK \l _Toc31161 </w:instrText>
          </w:r>
          <w:r>
            <w:fldChar w:fldCharType="separate"/>
          </w:r>
          <w:r>
            <w:rPr>
              <w:rFonts w:hint="default"/>
              <w:lang w:val="en-US" w:eastAsia="zh-CN"/>
            </w:rPr>
            <w:t>4.1. 内部审核计划制定</w:t>
          </w:r>
          <w:r>
            <w:tab/>
          </w:r>
          <w:r>
            <w:fldChar w:fldCharType="begin"/>
          </w:r>
          <w:r>
            <w:instrText xml:space="preserve"> PAGEREF _Toc31161 \h </w:instrText>
          </w:r>
          <w:r>
            <w:fldChar w:fldCharType="separate"/>
          </w:r>
          <w:r>
            <w:t>6</w:t>
          </w:r>
          <w:r>
            <w:fldChar w:fldCharType="end"/>
          </w:r>
          <w:r>
            <w:fldChar w:fldCharType="end"/>
          </w:r>
        </w:p>
        <w:p w14:paraId="544A83E7">
          <w:pPr>
            <w:pStyle w:val="18"/>
            <w:tabs>
              <w:tab w:val="right" w:leader="dot" w:pos="8306"/>
            </w:tabs>
          </w:pPr>
          <w:r>
            <w:fldChar w:fldCharType="begin"/>
          </w:r>
          <w:r>
            <w:instrText xml:space="preserve"> HYPERLINK \l _Toc7000 </w:instrText>
          </w:r>
          <w:r>
            <w:fldChar w:fldCharType="separate"/>
          </w:r>
          <w:r>
            <w:rPr>
              <w:rFonts w:hint="default"/>
              <w:lang w:val="en-US" w:eastAsia="zh-CN"/>
            </w:rPr>
            <w:t>4.2. 成立内部审核小组</w:t>
          </w:r>
          <w:r>
            <w:tab/>
          </w:r>
          <w:r>
            <w:fldChar w:fldCharType="begin"/>
          </w:r>
          <w:r>
            <w:instrText xml:space="preserve"> PAGEREF _Toc7000 \h </w:instrText>
          </w:r>
          <w:r>
            <w:fldChar w:fldCharType="separate"/>
          </w:r>
          <w:r>
            <w:t>6</w:t>
          </w:r>
          <w:r>
            <w:fldChar w:fldCharType="end"/>
          </w:r>
          <w:r>
            <w:fldChar w:fldCharType="end"/>
          </w:r>
        </w:p>
        <w:p w14:paraId="6B614ED9">
          <w:pPr>
            <w:pStyle w:val="18"/>
            <w:tabs>
              <w:tab w:val="right" w:leader="dot" w:pos="8306"/>
            </w:tabs>
          </w:pPr>
          <w:r>
            <w:fldChar w:fldCharType="begin"/>
          </w:r>
          <w:r>
            <w:instrText xml:space="preserve"> HYPERLINK \l _Toc7771 </w:instrText>
          </w:r>
          <w:r>
            <w:fldChar w:fldCharType="separate"/>
          </w:r>
          <w:r>
            <w:rPr>
              <w:rFonts w:hint="default"/>
              <w:lang w:val="en-US" w:eastAsia="zh-CN"/>
            </w:rPr>
            <w:t>4.3. 收集并审阅有关文件和记录</w:t>
          </w:r>
          <w:r>
            <w:tab/>
          </w:r>
          <w:r>
            <w:fldChar w:fldCharType="begin"/>
          </w:r>
          <w:r>
            <w:instrText xml:space="preserve"> PAGEREF _Toc7771 \h </w:instrText>
          </w:r>
          <w:r>
            <w:fldChar w:fldCharType="separate"/>
          </w:r>
          <w:r>
            <w:t>7</w:t>
          </w:r>
          <w:r>
            <w:fldChar w:fldCharType="end"/>
          </w:r>
          <w:r>
            <w:fldChar w:fldCharType="end"/>
          </w:r>
        </w:p>
        <w:p w14:paraId="5C43C720">
          <w:pPr>
            <w:pStyle w:val="18"/>
            <w:tabs>
              <w:tab w:val="right" w:leader="dot" w:pos="8306"/>
            </w:tabs>
          </w:pPr>
          <w:r>
            <w:fldChar w:fldCharType="begin"/>
          </w:r>
          <w:r>
            <w:instrText xml:space="preserve"> HYPERLINK \l _Toc7264 </w:instrText>
          </w:r>
          <w:r>
            <w:fldChar w:fldCharType="separate"/>
          </w:r>
          <w:r>
            <w:rPr>
              <w:rFonts w:hint="default"/>
              <w:lang w:val="en-US" w:eastAsia="zh-CN"/>
            </w:rPr>
            <w:t>4.4. 内审执行</w:t>
          </w:r>
          <w:r>
            <w:tab/>
          </w:r>
          <w:r>
            <w:fldChar w:fldCharType="begin"/>
          </w:r>
          <w:r>
            <w:instrText xml:space="preserve"> PAGEREF _Toc7264 \h </w:instrText>
          </w:r>
          <w:r>
            <w:fldChar w:fldCharType="separate"/>
          </w:r>
          <w:r>
            <w:t>7</w:t>
          </w:r>
          <w:r>
            <w:fldChar w:fldCharType="end"/>
          </w:r>
          <w:r>
            <w:fldChar w:fldCharType="end"/>
          </w:r>
        </w:p>
        <w:p w14:paraId="0928F0E3">
          <w:pPr>
            <w:pStyle w:val="13"/>
            <w:tabs>
              <w:tab w:val="right" w:leader="dot" w:pos="8306"/>
            </w:tabs>
          </w:pPr>
          <w:r>
            <w:fldChar w:fldCharType="begin"/>
          </w:r>
          <w:r>
            <w:instrText xml:space="preserve"> HYPERLINK \l _Toc4368 </w:instrText>
          </w:r>
          <w:r>
            <w:fldChar w:fldCharType="separate"/>
          </w:r>
          <w:r>
            <w:rPr>
              <w:rFonts w:hint="default"/>
              <w:lang w:val="en-US" w:eastAsia="zh-CN"/>
            </w:rPr>
            <w:t>4.4.1. 内审首次会议</w:t>
          </w:r>
          <w:r>
            <w:tab/>
          </w:r>
          <w:r>
            <w:fldChar w:fldCharType="begin"/>
          </w:r>
          <w:r>
            <w:instrText xml:space="preserve"> PAGEREF _Toc4368 \h </w:instrText>
          </w:r>
          <w:r>
            <w:fldChar w:fldCharType="separate"/>
          </w:r>
          <w:r>
            <w:t>7</w:t>
          </w:r>
          <w:r>
            <w:fldChar w:fldCharType="end"/>
          </w:r>
          <w:r>
            <w:fldChar w:fldCharType="end"/>
          </w:r>
        </w:p>
        <w:p w14:paraId="759FE6F5">
          <w:pPr>
            <w:pStyle w:val="13"/>
            <w:tabs>
              <w:tab w:val="right" w:leader="dot" w:pos="8306"/>
            </w:tabs>
          </w:pPr>
          <w:r>
            <w:fldChar w:fldCharType="begin"/>
          </w:r>
          <w:r>
            <w:instrText xml:space="preserve"> HYPERLINK \l _Toc6899 </w:instrText>
          </w:r>
          <w:r>
            <w:fldChar w:fldCharType="separate"/>
          </w:r>
          <w:r>
            <w:rPr>
              <w:rFonts w:hint="default"/>
              <w:lang w:val="en-US" w:eastAsia="zh-CN"/>
            </w:rPr>
            <w:t>4.4.2. 现场收集客观证据</w:t>
          </w:r>
          <w:r>
            <w:tab/>
          </w:r>
          <w:r>
            <w:fldChar w:fldCharType="begin"/>
          </w:r>
          <w:r>
            <w:instrText xml:space="preserve"> PAGEREF _Toc6899 \h </w:instrText>
          </w:r>
          <w:r>
            <w:fldChar w:fldCharType="separate"/>
          </w:r>
          <w:r>
            <w:t>8</w:t>
          </w:r>
          <w:r>
            <w:fldChar w:fldCharType="end"/>
          </w:r>
          <w:r>
            <w:fldChar w:fldCharType="end"/>
          </w:r>
        </w:p>
        <w:p w14:paraId="7A440203">
          <w:pPr>
            <w:pStyle w:val="13"/>
            <w:tabs>
              <w:tab w:val="right" w:leader="dot" w:pos="8306"/>
            </w:tabs>
          </w:pPr>
          <w:r>
            <w:fldChar w:fldCharType="begin"/>
          </w:r>
          <w:r>
            <w:instrText xml:space="preserve"> HYPERLINK \l _Toc26852 </w:instrText>
          </w:r>
          <w:r>
            <w:fldChar w:fldCharType="separate"/>
          </w:r>
          <w:r>
            <w:rPr>
              <w:rFonts w:hint="default"/>
              <w:lang w:val="en-US" w:eastAsia="zh-CN"/>
            </w:rPr>
            <w:t>4.4.3. 确认不符合项</w:t>
          </w:r>
          <w:r>
            <w:tab/>
          </w:r>
          <w:r>
            <w:fldChar w:fldCharType="begin"/>
          </w:r>
          <w:r>
            <w:instrText xml:space="preserve"> PAGEREF _Toc26852 \h </w:instrText>
          </w:r>
          <w:r>
            <w:fldChar w:fldCharType="separate"/>
          </w:r>
          <w:r>
            <w:t>8</w:t>
          </w:r>
          <w:r>
            <w:fldChar w:fldCharType="end"/>
          </w:r>
          <w:r>
            <w:fldChar w:fldCharType="end"/>
          </w:r>
        </w:p>
        <w:p w14:paraId="066B324A">
          <w:pPr>
            <w:pStyle w:val="13"/>
            <w:tabs>
              <w:tab w:val="right" w:leader="dot" w:pos="8306"/>
            </w:tabs>
          </w:pPr>
          <w:r>
            <w:fldChar w:fldCharType="begin"/>
          </w:r>
          <w:r>
            <w:instrText xml:space="preserve"> HYPERLINK \l _Toc4596 </w:instrText>
          </w:r>
          <w:r>
            <w:fldChar w:fldCharType="separate"/>
          </w:r>
          <w:r>
            <w:rPr>
              <w:rFonts w:hint="default"/>
              <w:lang w:val="en-US" w:eastAsia="zh-CN"/>
            </w:rPr>
            <w:t>4.4.4. 内审末次会议</w:t>
          </w:r>
          <w:r>
            <w:tab/>
          </w:r>
          <w:r>
            <w:fldChar w:fldCharType="begin"/>
          </w:r>
          <w:r>
            <w:instrText xml:space="preserve"> PAGEREF _Toc4596 \h </w:instrText>
          </w:r>
          <w:r>
            <w:fldChar w:fldCharType="separate"/>
          </w:r>
          <w:r>
            <w:t>8</w:t>
          </w:r>
          <w:r>
            <w:fldChar w:fldCharType="end"/>
          </w:r>
          <w:r>
            <w:fldChar w:fldCharType="end"/>
          </w:r>
        </w:p>
        <w:p w14:paraId="154F5CB1">
          <w:pPr>
            <w:pStyle w:val="13"/>
            <w:tabs>
              <w:tab w:val="right" w:leader="dot" w:pos="8306"/>
            </w:tabs>
          </w:pPr>
          <w:r>
            <w:fldChar w:fldCharType="begin"/>
          </w:r>
          <w:r>
            <w:instrText xml:space="preserve"> HYPERLINK \l _Toc7435 </w:instrText>
          </w:r>
          <w:r>
            <w:fldChar w:fldCharType="separate"/>
          </w:r>
          <w:r>
            <w:rPr>
              <w:rFonts w:hint="default"/>
              <w:lang w:val="en-US" w:eastAsia="zh-CN"/>
            </w:rPr>
            <w:t>4.4.5. 编制内部审核报告</w:t>
          </w:r>
          <w:r>
            <w:tab/>
          </w:r>
          <w:r>
            <w:fldChar w:fldCharType="begin"/>
          </w:r>
          <w:r>
            <w:instrText xml:space="preserve"> PAGEREF _Toc7435 \h </w:instrText>
          </w:r>
          <w:r>
            <w:fldChar w:fldCharType="separate"/>
          </w:r>
          <w:r>
            <w:t>9</w:t>
          </w:r>
          <w:r>
            <w:fldChar w:fldCharType="end"/>
          </w:r>
          <w:r>
            <w:fldChar w:fldCharType="end"/>
          </w:r>
        </w:p>
        <w:p w14:paraId="08A1DD42">
          <w:pPr>
            <w:pStyle w:val="13"/>
            <w:tabs>
              <w:tab w:val="right" w:leader="dot" w:pos="8306"/>
            </w:tabs>
          </w:pPr>
          <w:r>
            <w:fldChar w:fldCharType="begin"/>
          </w:r>
          <w:r>
            <w:instrText xml:space="preserve"> HYPERLINK \l _Toc27680 </w:instrText>
          </w:r>
          <w:r>
            <w:fldChar w:fldCharType="separate"/>
          </w:r>
          <w:r>
            <w:rPr>
              <w:rFonts w:hint="default"/>
              <w:lang w:val="en-US" w:eastAsia="zh-CN"/>
            </w:rPr>
            <w:t>4.4.6. 跟踪验证</w:t>
          </w:r>
          <w:r>
            <w:tab/>
          </w:r>
          <w:r>
            <w:fldChar w:fldCharType="begin"/>
          </w:r>
          <w:r>
            <w:instrText xml:space="preserve"> PAGEREF _Toc27680 \h </w:instrText>
          </w:r>
          <w:r>
            <w:fldChar w:fldCharType="separate"/>
          </w:r>
          <w:r>
            <w:t>9</w:t>
          </w:r>
          <w:r>
            <w:fldChar w:fldCharType="end"/>
          </w:r>
          <w:r>
            <w:fldChar w:fldCharType="end"/>
          </w:r>
        </w:p>
        <w:p w14:paraId="4FDCF0C1">
          <w:pPr>
            <w:pStyle w:val="16"/>
            <w:tabs>
              <w:tab w:val="right" w:leader="dot" w:pos="8306"/>
            </w:tabs>
          </w:pPr>
          <w:r>
            <w:fldChar w:fldCharType="begin"/>
          </w:r>
          <w:r>
            <w:instrText xml:space="preserve"> HYPERLINK \l _Toc25664 </w:instrText>
          </w:r>
          <w:r>
            <w:fldChar w:fldCharType="separate"/>
          </w:r>
          <w:r>
            <w:rPr>
              <w:rFonts w:hint="default"/>
              <w:lang w:val="en-US" w:eastAsia="zh-CN"/>
            </w:rPr>
            <w:t xml:space="preserve">5. </w:t>
          </w:r>
          <w:r>
            <w:rPr>
              <w:rFonts w:hint="eastAsia"/>
              <w:lang w:val="en-US" w:eastAsia="zh-CN"/>
            </w:rPr>
            <w:t>KPI指标</w:t>
          </w:r>
          <w:r>
            <w:tab/>
          </w:r>
          <w:r>
            <w:fldChar w:fldCharType="begin"/>
          </w:r>
          <w:r>
            <w:instrText xml:space="preserve"> PAGEREF _Toc25664 \h </w:instrText>
          </w:r>
          <w:r>
            <w:fldChar w:fldCharType="separate"/>
          </w:r>
          <w:r>
            <w:t>10</w:t>
          </w:r>
          <w:r>
            <w:fldChar w:fldCharType="end"/>
          </w:r>
          <w:r>
            <w:fldChar w:fldCharType="end"/>
          </w:r>
        </w:p>
        <w:p w14:paraId="2C99712E">
          <w:pPr>
            <w:pStyle w:val="16"/>
            <w:tabs>
              <w:tab w:val="right" w:leader="dot" w:pos="8306"/>
            </w:tabs>
          </w:pPr>
          <w:r>
            <w:fldChar w:fldCharType="begin"/>
          </w:r>
          <w:r>
            <w:instrText xml:space="preserve"> HYPERLINK \l _Toc26738 </w:instrText>
          </w:r>
          <w:r>
            <w:fldChar w:fldCharType="separate"/>
          </w:r>
          <w:r>
            <w:rPr>
              <w:rFonts w:hint="default"/>
              <w:lang w:val="en-US" w:eastAsia="zh-CN"/>
            </w:rPr>
            <w:t xml:space="preserve">6. </w:t>
          </w:r>
          <w:r>
            <w:rPr>
              <w:rFonts w:hint="eastAsia"/>
              <w:lang w:val="en-US" w:eastAsia="zh-CN"/>
            </w:rPr>
            <w:t>输出的文件和记录</w:t>
          </w:r>
          <w:r>
            <w:tab/>
          </w:r>
          <w:r>
            <w:fldChar w:fldCharType="begin"/>
          </w:r>
          <w:r>
            <w:instrText xml:space="preserve"> PAGEREF _Toc26738 \h </w:instrText>
          </w:r>
          <w:r>
            <w:fldChar w:fldCharType="separate"/>
          </w:r>
          <w:r>
            <w:t>10</w:t>
          </w:r>
          <w:r>
            <w:fldChar w:fldCharType="end"/>
          </w:r>
          <w:r>
            <w:fldChar w:fldCharType="end"/>
          </w:r>
        </w:p>
        <w:p w14:paraId="70A3114D">
          <w:r>
            <w:fldChar w:fldCharType="end"/>
          </w:r>
        </w:p>
      </w:sdtContent>
    </w:sdt>
    <w:p w14:paraId="059B6C09">
      <w:pPr>
        <w:jc w:val="center"/>
        <w:rPr>
          <w:rFonts w:hint="eastAsia" w:eastAsia="宋体"/>
          <w:lang w:val="en-US" w:eastAsia="zh-CN"/>
        </w:rPr>
      </w:pPr>
      <w:r>
        <w:rPr>
          <w:rFonts w:hint="eastAsia"/>
          <w:lang w:val="en-US" w:eastAsia="zh-CN"/>
        </w:rPr>
        <w:t>表目录</w:t>
      </w:r>
    </w:p>
    <w:p w14:paraId="3F5366FE">
      <w:pPr>
        <w:pStyle w:val="17"/>
        <w:tabs>
          <w:tab w:val="right" w:leader="dot" w:pos="8306"/>
        </w:tabs>
      </w:pPr>
      <w:r>
        <w:fldChar w:fldCharType="begin"/>
      </w:r>
      <w:r>
        <w:instrText xml:space="preserve">TOC \h \c "表"</w:instrText>
      </w:r>
      <w:r>
        <w:fldChar w:fldCharType="separate"/>
      </w:r>
      <w:r>
        <w:fldChar w:fldCharType="begin"/>
      </w:r>
      <w:r>
        <w:instrText xml:space="preserve"> HYPERLINK \l _Toc3793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_Toc3793 \h </w:instrText>
      </w:r>
      <w:r>
        <w:fldChar w:fldCharType="separate"/>
      </w:r>
      <w:r>
        <w:t>10</w:t>
      </w:r>
      <w:r>
        <w:fldChar w:fldCharType="end"/>
      </w:r>
      <w:r>
        <w:fldChar w:fldCharType="end"/>
      </w:r>
    </w:p>
    <w:p w14:paraId="1D3FBD05">
      <w:pPr>
        <w:pStyle w:val="17"/>
        <w:tabs>
          <w:tab w:val="right" w:leader="dot" w:pos="8306"/>
        </w:tabs>
      </w:pPr>
      <w:r>
        <w:fldChar w:fldCharType="begin"/>
      </w:r>
      <w:r>
        <w:instrText xml:space="preserve"> HYPERLINK \l _Toc11493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输出文件记录表</w:t>
      </w:r>
      <w:r>
        <w:tab/>
      </w:r>
      <w:r>
        <w:fldChar w:fldCharType="begin"/>
      </w:r>
      <w:r>
        <w:instrText xml:space="preserve"> PAGEREF _Toc11493 \h </w:instrText>
      </w:r>
      <w:r>
        <w:fldChar w:fldCharType="separate"/>
      </w:r>
      <w:r>
        <w:t>10</w:t>
      </w:r>
      <w:r>
        <w:fldChar w:fldCharType="end"/>
      </w:r>
      <w:r>
        <w:fldChar w:fldCharType="end"/>
      </w:r>
    </w:p>
    <w:p w14:paraId="4071B19F">
      <w:r>
        <w:fldChar w:fldCharType="end"/>
      </w:r>
    </w:p>
    <w:p w14:paraId="02E8108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543D575E">
      <w:pPr>
        <w:pStyle w:val="30"/>
        <w:bidi w:val="0"/>
        <w:rPr>
          <w:rFonts w:hint="default"/>
          <w:lang w:val="en-US" w:eastAsia="zh-CN"/>
        </w:rPr>
      </w:pPr>
      <w:bookmarkStart w:id="1" w:name="_Toc4239"/>
      <w:bookmarkStart w:id="2" w:name="_Toc27135"/>
      <w:r>
        <w:rPr>
          <w:rFonts w:hint="default"/>
          <w:lang w:val="en-US" w:eastAsia="zh-CN"/>
        </w:rPr>
        <w:t>目的</w:t>
      </w:r>
      <w:bookmarkEnd w:id="1"/>
      <w:bookmarkEnd w:id="2"/>
    </w:p>
    <w:p w14:paraId="6F463D6D">
      <w:pPr>
        <w:pStyle w:val="31"/>
        <w:bidi w:val="0"/>
        <w:rPr>
          <w:rFonts w:hint="default"/>
          <w:lang w:val="en-US" w:eastAsia="zh-CN"/>
        </w:rPr>
      </w:pPr>
      <w:r>
        <w:rPr>
          <w:rFonts w:hint="default"/>
          <w:lang w:val="en-US" w:eastAsia="zh-CN"/>
        </w:rPr>
        <w:t>本制度旨在为天津图云智能科技有限公司（以下简称“公司”）信息技术服务标准体系的内部审核（内审）提供依据。通过组织内部审核活动，检查运维服务管理活动及其结果是否符合ITSS标准及公司相关制度要求，为体系的持续改进提供依据，确保运维服务管理体系有效运行。</w:t>
      </w:r>
    </w:p>
    <w:p w14:paraId="1CD47D93">
      <w:pPr>
        <w:pStyle w:val="30"/>
        <w:bidi w:val="0"/>
        <w:rPr>
          <w:rFonts w:hint="default"/>
          <w:lang w:val="en-US" w:eastAsia="zh-CN"/>
        </w:rPr>
      </w:pPr>
      <w:bookmarkStart w:id="3" w:name="_Toc14442"/>
      <w:bookmarkStart w:id="4" w:name="_Toc27241"/>
      <w:r>
        <w:rPr>
          <w:rFonts w:hint="default"/>
          <w:lang w:val="en-US" w:eastAsia="zh-CN"/>
        </w:rPr>
        <w:t>范围</w:t>
      </w:r>
      <w:bookmarkEnd w:id="3"/>
      <w:bookmarkEnd w:id="4"/>
    </w:p>
    <w:p w14:paraId="2CAF4FB4">
      <w:pPr>
        <w:pStyle w:val="31"/>
        <w:bidi w:val="0"/>
        <w:rPr>
          <w:rFonts w:hint="default"/>
          <w:lang w:val="en-US" w:eastAsia="zh-CN"/>
        </w:rPr>
      </w:pPr>
      <w:r>
        <w:rPr>
          <w:rFonts w:hint="default"/>
          <w:lang w:val="en-US" w:eastAsia="zh-CN"/>
        </w:rPr>
        <w:t>本制度适用于公司信息技术服务标准体系内审活动的组织与管理，覆盖运维服务相关的所有部门：运维部、技术中心、质量部、综合管理部、采购部、应急管理部。</w:t>
      </w:r>
    </w:p>
    <w:p w14:paraId="28EBF7F7">
      <w:pPr>
        <w:pStyle w:val="30"/>
        <w:bidi w:val="0"/>
        <w:rPr>
          <w:rFonts w:hint="default"/>
          <w:lang w:val="en-US" w:eastAsia="zh-CN"/>
        </w:rPr>
      </w:pPr>
      <w:bookmarkStart w:id="5" w:name="_Toc9924"/>
      <w:bookmarkStart w:id="6" w:name="_Toc21612"/>
      <w:r>
        <w:rPr>
          <w:rFonts w:hint="default"/>
          <w:lang w:val="en-US" w:eastAsia="zh-CN"/>
        </w:rPr>
        <w:t>职责与权限</w:t>
      </w:r>
      <w:bookmarkEnd w:id="5"/>
      <w:bookmarkEnd w:id="6"/>
    </w:p>
    <w:p w14:paraId="0EBB02C0">
      <w:pPr>
        <w:pStyle w:val="32"/>
        <w:bidi w:val="0"/>
        <w:rPr>
          <w:rFonts w:hint="default"/>
          <w:lang w:val="en-US" w:eastAsia="zh-CN"/>
        </w:rPr>
      </w:pPr>
      <w:bookmarkStart w:id="7" w:name="_Toc22313"/>
      <w:bookmarkStart w:id="8" w:name="_Toc18321"/>
      <w:r>
        <w:rPr>
          <w:rFonts w:hint="default"/>
          <w:lang w:val="en-US" w:eastAsia="zh-CN"/>
        </w:rPr>
        <w:t>管理层</w:t>
      </w:r>
      <w:bookmarkEnd w:id="7"/>
      <w:bookmarkEnd w:id="8"/>
    </w:p>
    <w:p w14:paraId="52569F26">
      <w:pPr>
        <w:pStyle w:val="31"/>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负责本制度的审批工作。</w:t>
      </w:r>
    </w:p>
    <w:p w14:paraId="46D7EDC2">
      <w:pPr>
        <w:pStyle w:val="31"/>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负责内审活动的管理和工作协调。</w:t>
      </w:r>
    </w:p>
    <w:p w14:paraId="1D3D1126">
      <w:pPr>
        <w:pStyle w:val="31"/>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负责对内审结果进行审批。</w:t>
      </w:r>
    </w:p>
    <w:p w14:paraId="7EA7EF9D">
      <w:pPr>
        <w:pStyle w:val="31"/>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为内审活动提供必要的资源支持。</w:t>
      </w:r>
    </w:p>
    <w:p w14:paraId="3F8C057F">
      <w:pPr>
        <w:pStyle w:val="32"/>
        <w:bidi w:val="0"/>
        <w:rPr>
          <w:rFonts w:hint="default"/>
          <w:lang w:val="en-US" w:eastAsia="zh-CN"/>
        </w:rPr>
      </w:pPr>
      <w:bookmarkStart w:id="9" w:name="_Toc3088"/>
      <w:bookmarkStart w:id="10" w:name="_Toc16833"/>
      <w:r>
        <w:rPr>
          <w:rFonts w:hint="default"/>
          <w:lang w:val="en-US" w:eastAsia="zh-CN"/>
        </w:rPr>
        <w:t>质量部</w:t>
      </w:r>
      <w:bookmarkEnd w:id="9"/>
      <w:bookmarkEnd w:id="10"/>
    </w:p>
    <w:p w14:paraId="3DBCD7E9">
      <w:pPr>
        <w:pStyle w:val="31"/>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负责本制度的制定、解释和修订。</w:t>
      </w:r>
    </w:p>
    <w:p w14:paraId="632DE68E">
      <w:pPr>
        <w:pStyle w:val="31"/>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负责编制年度内部审核计划。</w:t>
      </w:r>
    </w:p>
    <w:p w14:paraId="18C8B3E9">
      <w:pPr>
        <w:pStyle w:val="31"/>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负责组织内审活动的实施。</w:t>
      </w:r>
    </w:p>
    <w:p w14:paraId="68B58824">
      <w:pPr>
        <w:pStyle w:val="31"/>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负责内审整改工作的跟踪和验证关闭。</w:t>
      </w:r>
    </w:p>
    <w:p w14:paraId="4F6280A4">
      <w:pPr>
        <w:pStyle w:val="31"/>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负责内审员队伍的建设和管理。</w:t>
      </w:r>
    </w:p>
    <w:p w14:paraId="48AB4C6B">
      <w:pPr>
        <w:pStyle w:val="31"/>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负责将内审结果作为管理评审输入。</w:t>
      </w:r>
    </w:p>
    <w:p w14:paraId="69ECEBA6">
      <w:pPr>
        <w:pStyle w:val="32"/>
        <w:bidi w:val="0"/>
        <w:rPr>
          <w:rFonts w:hint="default"/>
          <w:lang w:val="en-US" w:eastAsia="zh-CN"/>
        </w:rPr>
      </w:pPr>
      <w:bookmarkStart w:id="11" w:name="_Toc12744"/>
      <w:bookmarkStart w:id="12" w:name="_Toc25282"/>
      <w:r>
        <w:rPr>
          <w:rFonts w:hint="default"/>
          <w:lang w:val="en-US" w:eastAsia="zh-CN"/>
        </w:rPr>
        <w:t>运维部</w:t>
      </w:r>
      <w:bookmarkEnd w:id="11"/>
      <w:bookmarkEnd w:id="12"/>
    </w:p>
    <w:p w14:paraId="08805D57">
      <w:pPr>
        <w:pStyle w:val="31"/>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配合质量部制定内部审核计划。</w:t>
      </w:r>
    </w:p>
    <w:p w14:paraId="5F6ACAA6">
      <w:pPr>
        <w:pStyle w:val="31"/>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按本制度要求配合审核小组进行内审活动准备和实施。</w:t>
      </w:r>
    </w:p>
    <w:p w14:paraId="09212EC5">
      <w:pPr>
        <w:pStyle w:val="31"/>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确保本部门参与审核工作的内审员与被审核部门无直接关系。</w:t>
      </w:r>
    </w:p>
    <w:p w14:paraId="62FB848B">
      <w:pPr>
        <w:pStyle w:val="31"/>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负责根据内审报告，对本部门的不符合项进行整改实施。</w:t>
      </w:r>
    </w:p>
    <w:p w14:paraId="0374E059">
      <w:pPr>
        <w:pStyle w:val="32"/>
        <w:bidi w:val="0"/>
        <w:rPr>
          <w:rFonts w:hint="default"/>
          <w:lang w:val="en-US" w:eastAsia="zh-CN"/>
        </w:rPr>
      </w:pPr>
      <w:bookmarkStart w:id="13" w:name="_Toc28486"/>
      <w:bookmarkStart w:id="14" w:name="_Toc29119"/>
      <w:r>
        <w:rPr>
          <w:rFonts w:hint="default"/>
          <w:lang w:val="en-US" w:eastAsia="zh-CN"/>
        </w:rPr>
        <w:t>技术中心</w:t>
      </w:r>
      <w:bookmarkEnd w:id="13"/>
      <w:bookmarkEnd w:id="14"/>
    </w:p>
    <w:p w14:paraId="04C93044">
      <w:pPr>
        <w:pStyle w:val="31"/>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配合质量部制定内部审核计划。</w:t>
      </w:r>
    </w:p>
    <w:p w14:paraId="766B4654">
      <w:pPr>
        <w:pStyle w:val="31"/>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按本制度要求配合审核小组进行内审活动准备和实施。</w:t>
      </w:r>
    </w:p>
    <w:p w14:paraId="2406CF26">
      <w:pPr>
        <w:pStyle w:val="31"/>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确保本部门参与审核工作的内审员与被审核部门无直接关系。</w:t>
      </w:r>
    </w:p>
    <w:p w14:paraId="34F31815">
      <w:pPr>
        <w:pStyle w:val="31"/>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负责根据内审报告，对本部门的不符合项进行整改实施。</w:t>
      </w:r>
    </w:p>
    <w:p w14:paraId="51F5B20A">
      <w:pPr>
        <w:pStyle w:val="32"/>
        <w:bidi w:val="0"/>
        <w:rPr>
          <w:rFonts w:hint="default"/>
          <w:lang w:val="en-US" w:eastAsia="zh-CN"/>
        </w:rPr>
      </w:pPr>
      <w:bookmarkStart w:id="15" w:name="_Toc30477"/>
      <w:bookmarkStart w:id="16" w:name="_Toc19644"/>
      <w:r>
        <w:rPr>
          <w:rFonts w:hint="default"/>
          <w:lang w:val="en-US" w:eastAsia="zh-CN"/>
        </w:rPr>
        <w:t>综合管理部</w:t>
      </w:r>
      <w:bookmarkEnd w:id="15"/>
      <w:bookmarkEnd w:id="16"/>
    </w:p>
    <w:p w14:paraId="598199C9">
      <w:pPr>
        <w:pStyle w:val="31"/>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配合质量部制定内部审核计划。</w:t>
      </w:r>
    </w:p>
    <w:p w14:paraId="21AF8E6D">
      <w:pPr>
        <w:pStyle w:val="31"/>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按本制度要求配合审核小组进行内审活动准备和实施。</w:t>
      </w:r>
    </w:p>
    <w:p w14:paraId="64022ECA">
      <w:pPr>
        <w:pStyle w:val="31"/>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确保本部门参与审核工作的内审员与被审核部门无直接关系。</w:t>
      </w:r>
    </w:p>
    <w:p w14:paraId="70DD4F7A">
      <w:pPr>
        <w:pStyle w:val="31"/>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负责根据内审报告，对本部门的不符合项进行整改实施。</w:t>
      </w:r>
    </w:p>
    <w:p w14:paraId="6485C583">
      <w:pPr>
        <w:pStyle w:val="32"/>
        <w:bidi w:val="0"/>
        <w:rPr>
          <w:rFonts w:hint="default"/>
          <w:lang w:val="en-US" w:eastAsia="zh-CN"/>
        </w:rPr>
      </w:pPr>
      <w:bookmarkStart w:id="17" w:name="_Toc31334"/>
      <w:bookmarkStart w:id="18" w:name="_Toc18970"/>
      <w:r>
        <w:rPr>
          <w:rFonts w:hint="default"/>
          <w:lang w:val="en-US" w:eastAsia="zh-CN"/>
        </w:rPr>
        <w:t>采购部</w:t>
      </w:r>
      <w:bookmarkEnd w:id="17"/>
      <w:bookmarkEnd w:id="18"/>
    </w:p>
    <w:p w14:paraId="5F619476">
      <w:pPr>
        <w:pStyle w:val="31"/>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配合质量部制定内部审核计划。</w:t>
      </w:r>
    </w:p>
    <w:p w14:paraId="1DF22573">
      <w:pPr>
        <w:pStyle w:val="31"/>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按本制度要求配合审核小组进行内审活动准备和实施。</w:t>
      </w:r>
    </w:p>
    <w:p w14:paraId="7EA2411B">
      <w:pPr>
        <w:pStyle w:val="31"/>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确保本部门参与审核工作的内审员与被审核部门无直接关系。</w:t>
      </w:r>
    </w:p>
    <w:p w14:paraId="72937866">
      <w:pPr>
        <w:pStyle w:val="31"/>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负责根据内审报告，对本部门的不符合项进行整改实施。</w:t>
      </w:r>
    </w:p>
    <w:p w14:paraId="40942716">
      <w:pPr>
        <w:pStyle w:val="32"/>
        <w:bidi w:val="0"/>
        <w:rPr>
          <w:rFonts w:hint="default"/>
          <w:lang w:val="en-US" w:eastAsia="zh-CN"/>
        </w:rPr>
      </w:pPr>
      <w:bookmarkStart w:id="19" w:name="_Toc19965"/>
      <w:bookmarkStart w:id="20" w:name="_Toc29811"/>
      <w:r>
        <w:rPr>
          <w:rFonts w:hint="default"/>
          <w:lang w:val="en-US" w:eastAsia="zh-CN"/>
        </w:rPr>
        <w:t>应急管理部</w:t>
      </w:r>
      <w:bookmarkEnd w:id="19"/>
      <w:bookmarkEnd w:id="20"/>
    </w:p>
    <w:p w14:paraId="14A74740">
      <w:pPr>
        <w:pStyle w:val="31"/>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配合质量部制定内部审核计划。</w:t>
      </w:r>
    </w:p>
    <w:p w14:paraId="3CA67487">
      <w:pPr>
        <w:pStyle w:val="31"/>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按本制度要求配合审核小组进行内审活动准备和实施。</w:t>
      </w:r>
    </w:p>
    <w:p w14:paraId="4AF6B479">
      <w:pPr>
        <w:pStyle w:val="31"/>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确保本部门参与审核工作的内审员与被审核部门无直接关系。</w:t>
      </w:r>
    </w:p>
    <w:p w14:paraId="57C46718">
      <w:pPr>
        <w:pStyle w:val="31"/>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负责根据内审报告，对本部门的不符合项进行整改实施。</w:t>
      </w:r>
    </w:p>
    <w:p w14:paraId="08A77EAE">
      <w:pPr>
        <w:pStyle w:val="30"/>
        <w:bidi w:val="0"/>
        <w:rPr>
          <w:rFonts w:hint="default"/>
          <w:lang w:val="en-US" w:eastAsia="zh-CN"/>
        </w:rPr>
      </w:pPr>
      <w:bookmarkStart w:id="21" w:name="_Toc28997"/>
      <w:bookmarkStart w:id="22" w:name="_Toc26049"/>
      <w:r>
        <w:rPr>
          <w:rFonts w:hint="default"/>
          <w:lang w:val="en-US" w:eastAsia="zh-CN"/>
        </w:rPr>
        <w:t>内审活动流程</w:t>
      </w:r>
      <w:bookmarkEnd w:id="21"/>
      <w:bookmarkEnd w:id="22"/>
    </w:p>
    <w:p w14:paraId="2A9FB3DD">
      <w:pPr>
        <w:pStyle w:val="32"/>
        <w:bidi w:val="0"/>
        <w:rPr>
          <w:rFonts w:hint="default"/>
          <w:lang w:val="en-US" w:eastAsia="zh-CN"/>
        </w:rPr>
      </w:pPr>
      <w:bookmarkStart w:id="23" w:name="_Toc18551"/>
      <w:bookmarkStart w:id="24" w:name="_Toc31161"/>
      <w:r>
        <w:rPr>
          <w:rFonts w:hint="default"/>
          <w:lang w:val="en-US" w:eastAsia="zh-CN"/>
        </w:rPr>
        <w:t>内部审核计划制定</w:t>
      </w:r>
      <w:bookmarkEnd w:id="23"/>
      <w:bookmarkEnd w:id="24"/>
    </w:p>
    <w:p w14:paraId="202BBE4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质量部每年</w:t>
      </w:r>
      <w:r>
        <w:rPr>
          <w:rFonts w:hint="eastAsia"/>
          <w:lang w:val="en-US" w:eastAsia="zh-CN"/>
        </w:rPr>
        <w:t>度</w:t>
      </w:r>
      <w:r>
        <w:rPr>
          <w:rFonts w:hint="default"/>
          <w:lang w:val="en-US" w:eastAsia="zh-CN"/>
        </w:rPr>
        <w:t>依据ITSS标准，至少组织一次覆盖公司全范围的运维服务管理体系内部审核活动。</w:t>
      </w:r>
    </w:p>
    <w:p w14:paraId="30A5DF5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质量部负责编制《内部审核计划》，审核范围应覆盖ITSS标准各项要求，包括：</w:t>
      </w:r>
    </w:p>
    <w:p w14:paraId="6D0AB5D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人员能力域（招聘、</w:t>
      </w:r>
      <w:r>
        <w:rPr>
          <w:rFonts w:hint="eastAsia"/>
          <w:lang w:val="en-US" w:eastAsia="zh-CN"/>
        </w:rPr>
        <w:t>储备、</w:t>
      </w:r>
      <w:r>
        <w:rPr>
          <w:rFonts w:hint="default"/>
          <w:lang w:val="en-US" w:eastAsia="zh-CN"/>
        </w:rPr>
        <w:t>培训、</w:t>
      </w:r>
      <w:r>
        <w:rPr>
          <w:rFonts w:hint="eastAsia"/>
          <w:lang w:val="en-US" w:eastAsia="zh-CN"/>
        </w:rPr>
        <w:t>备份、</w:t>
      </w:r>
      <w:r>
        <w:rPr>
          <w:rFonts w:hint="default"/>
          <w:lang w:val="en-US" w:eastAsia="zh-CN"/>
        </w:rPr>
        <w:t>绩效、岗位等）</w:t>
      </w:r>
    </w:p>
    <w:p w14:paraId="0B5CEA9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资源能力域（</w:t>
      </w:r>
      <w:r>
        <w:rPr>
          <w:rFonts w:hint="eastAsia"/>
          <w:lang w:val="en-US" w:eastAsia="zh-CN"/>
        </w:rPr>
        <w:t>服务知识</w:t>
      </w:r>
      <w:r>
        <w:rPr>
          <w:rFonts w:hint="default"/>
          <w:lang w:val="en-US" w:eastAsia="zh-CN"/>
        </w:rPr>
        <w:t>、</w:t>
      </w:r>
      <w:r>
        <w:rPr>
          <w:rFonts w:hint="eastAsia"/>
          <w:lang w:val="en-US" w:eastAsia="zh-CN"/>
        </w:rPr>
        <w:t>运维工具</w:t>
      </w:r>
      <w:r>
        <w:rPr>
          <w:rFonts w:hint="default"/>
          <w:lang w:val="en-US" w:eastAsia="zh-CN"/>
        </w:rPr>
        <w:t>、备件库、服务台</w:t>
      </w:r>
      <w:r>
        <w:rPr>
          <w:rFonts w:hint="eastAsia"/>
          <w:lang w:val="en-US" w:eastAsia="zh-CN"/>
        </w:rPr>
        <w:t>、最终软件库、服务数据</w:t>
      </w:r>
      <w:r>
        <w:rPr>
          <w:rFonts w:hint="default"/>
          <w:lang w:val="en-US" w:eastAsia="zh-CN"/>
        </w:rPr>
        <w:t>等）</w:t>
      </w:r>
    </w:p>
    <w:p w14:paraId="383C4251">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技术能力域（技术研发、工具应用、技术方案等）</w:t>
      </w:r>
    </w:p>
    <w:p w14:paraId="35C53C6F">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过程能力域（服务级别、事件、问题、变更、配置等11个过程）</w:t>
      </w:r>
    </w:p>
    <w:p w14:paraId="11792AD9">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交付能力域（交付流程、交付质量、交付文档等）</w:t>
      </w:r>
    </w:p>
    <w:p w14:paraId="55A5EEE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应急能力域（应急预案、应急演练、应急响应等）</w:t>
      </w:r>
    </w:p>
    <w:p w14:paraId="03914A66">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运维服务能力度量活动应在内审活动前完成，以便通过内审活动检查度量指标的正确性和达成情况。</w:t>
      </w:r>
    </w:p>
    <w:p w14:paraId="32A5E77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在下列情况下，质量部可以提出申请，经总经理批准后，可追加进行内审活动：</w:t>
      </w:r>
    </w:p>
    <w:p w14:paraId="6C30F029">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运维服务重大事件频发时</w:t>
      </w:r>
    </w:p>
    <w:p w14:paraId="522054F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发生重大变更或重大信息安全事件时</w:t>
      </w:r>
    </w:p>
    <w:p w14:paraId="27E7756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外部审核之前</w:t>
      </w:r>
    </w:p>
    <w:p w14:paraId="1E4A6305">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管理体系发生重大变化时</w:t>
      </w:r>
    </w:p>
    <w:p w14:paraId="4948D484">
      <w:pPr>
        <w:pStyle w:val="32"/>
        <w:bidi w:val="0"/>
        <w:rPr>
          <w:rFonts w:hint="default"/>
          <w:lang w:val="en-US" w:eastAsia="zh-CN"/>
        </w:rPr>
      </w:pPr>
      <w:bookmarkStart w:id="25" w:name="_Toc28214"/>
      <w:bookmarkStart w:id="26" w:name="_Toc7000"/>
      <w:r>
        <w:rPr>
          <w:rFonts w:hint="default"/>
          <w:lang w:val="en-US" w:eastAsia="zh-CN"/>
        </w:rPr>
        <w:t>成立内部审核小组</w:t>
      </w:r>
      <w:bookmarkEnd w:id="25"/>
      <w:bookmarkEnd w:id="26"/>
    </w:p>
    <w:p w14:paraId="6A91B11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质量部根据被审核部门特点及其工作性质，从公司内部审核员队伍中推选具有资格的合适人选担任内审小组组长，由内审小组组长负责本次审核的具体组织工作。</w:t>
      </w:r>
    </w:p>
    <w:p w14:paraId="47904239">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由内审小组组长从相关部门中选派具有内审员资格且与被审核部门无直接关系者担任审核组成员，并根据内审计划进行适当分工。</w:t>
      </w:r>
    </w:p>
    <w:p w14:paraId="0A5ECD2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内审小组成员应具备以下条件：</w:t>
      </w:r>
    </w:p>
    <w:p w14:paraId="7F7EAAA4">
      <w:pPr>
        <w:pStyle w:val="31"/>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经过ITSS内审员培训并取得资格</w:t>
      </w:r>
    </w:p>
    <w:p w14:paraId="2DD15787">
      <w:pPr>
        <w:pStyle w:val="31"/>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熟悉被审核部门的业务流程</w:t>
      </w:r>
    </w:p>
    <w:p w14:paraId="3135C86C">
      <w:pPr>
        <w:pStyle w:val="31"/>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与被审核部门无直接利害关系</w:t>
      </w:r>
    </w:p>
    <w:p w14:paraId="5165C158">
      <w:pPr>
        <w:pStyle w:val="31"/>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具备良好的沟通和判断能力</w:t>
      </w:r>
    </w:p>
    <w:p w14:paraId="51B608B8">
      <w:pPr>
        <w:pStyle w:val="32"/>
        <w:bidi w:val="0"/>
        <w:rPr>
          <w:rFonts w:hint="default"/>
          <w:lang w:val="en-US" w:eastAsia="zh-CN"/>
        </w:rPr>
      </w:pPr>
      <w:bookmarkStart w:id="27" w:name="_Toc28584"/>
      <w:bookmarkStart w:id="28" w:name="_Toc7771"/>
      <w:r>
        <w:rPr>
          <w:rFonts w:hint="default"/>
          <w:lang w:val="en-US" w:eastAsia="zh-CN"/>
        </w:rPr>
        <w:t>收集并审阅有关文件和记录</w:t>
      </w:r>
      <w:bookmarkEnd w:id="27"/>
      <w:bookmarkEnd w:id="28"/>
    </w:p>
    <w:p w14:paraId="37E081EC">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内审小组组长根据内部审核计划进行审核分工和时间安排，提前下发本次内部审核计划到受审核部门负责人，事先约定该次审核的所有被访谈角色。</w:t>
      </w:r>
    </w:p>
    <w:p w14:paraId="58B21A79">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审核组成员根据分工任务编制《内审检查表》，检查表应覆盖ITSS标准要求和公司相关制度要求。</w:t>
      </w:r>
    </w:p>
    <w:p w14:paraId="768EAF1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内审小组依据内部审核计划，收集与被审核部门运维服务有关的文件和资料，并进行审阅，包括但不限于：</w:t>
      </w:r>
    </w:p>
    <w:p w14:paraId="474918C9">
      <w:pPr>
        <w:pStyle w:val="31"/>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部门职责和岗位说明书</w:t>
      </w:r>
    </w:p>
    <w:p w14:paraId="6E4A052D">
      <w:pPr>
        <w:pStyle w:val="31"/>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相关管理制度和流程文件</w:t>
      </w:r>
    </w:p>
    <w:p w14:paraId="056D749B">
      <w:pPr>
        <w:pStyle w:val="31"/>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过程记录和运行数据</w:t>
      </w:r>
    </w:p>
    <w:p w14:paraId="61773788">
      <w:pPr>
        <w:pStyle w:val="31"/>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能力度量指标完成情况</w:t>
      </w:r>
    </w:p>
    <w:p w14:paraId="2413B6C4">
      <w:pPr>
        <w:pStyle w:val="31"/>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前期内审不符合项整改情况</w:t>
      </w:r>
    </w:p>
    <w:p w14:paraId="62C3676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审核员在文件审核与现场审核时需做好记录。</w:t>
      </w:r>
    </w:p>
    <w:p w14:paraId="3C8584DC">
      <w:pPr>
        <w:pStyle w:val="32"/>
        <w:bidi w:val="0"/>
        <w:rPr>
          <w:rFonts w:hint="default"/>
          <w:lang w:val="en-US" w:eastAsia="zh-CN"/>
        </w:rPr>
      </w:pPr>
      <w:bookmarkStart w:id="29" w:name="_Toc30001"/>
      <w:bookmarkStart w:id="30" w:name="_Toc7264"/>
      <w:r>
        <w:rPr>
          <w:rFonts w:hint="default"/>
          <w:lang w:val="en-US" w:eastAsia="zh-CN"/>
        </w:rPr>
        <w:t>内审执行</w:t>
      </w:r>
      <w:bookmarkEnd w:id="29"/>
      <w:bookmarkEnd w:id="30"/>
    </w:p>
    <w:p w14:paraId="1DE2446B">
      <w:pPr>
        <w:pStyle w:val="33"/>
        <w:bidi w:val="0"/>
        <w:rPr>
          <w:rFonts w:hint="default"/>
          <w:lang w:val="en-US" w:eastAsia="zh-CN"/>
        </w:rPr>
      </w:pPr>
      <w:bookmarkStart w:id="31" w:name="_Toc24868"/>
      <w:bookmarkStart w:id="32" w:name="_Toc4368"/>
      <w:r>
        <w:rPr>
          <w:rFonts w:hint="default"/>
          <w:lang w:val="en-US" w:eastAsia="zh-CN"/>
        </w:rPr>
        <w:t>内审首次会议</w:t>
      </w:r>
      <w:bookmarkEnd w:id="31"/>
      <w:bookmarkEnd w:id="32"/>
    </w:p>
    <w:p w14:paraId="1A9471E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内审小组组长主持召开内审首次会议，首次会议出席人员包括：</w:t>
      </w:r>
    </w:p>
    <w:p w14:paraId="1D3AE946">
      <w:pPr>
        <w:pStyle w:val="31"/>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内审小组全体成员</w:t>
      </w:r>
    </w:p>
    <w:p w14:paraId="589957F5">
      <w:pPr>
        <w:pStyle w:val="31"/>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受审核部门负责人及陪同人员</w:t>
      </w:r>
    </w:p>
    <w:p w14:paraId="3732BB22">
      <w:pPr>
        <w:pStyle w:val="31"/>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质量部经理</w:t>
      </w:r>
    </w:p>
    <w:p w14:paraId="0CE306F3">
      <w:pPr>
        <w:pStyle w:val="31"/>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必要时邀请管理层参加</w:t>
      </w:r>
    </w:p>
    <w:p w14:paraId="0AD62FC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会议内容：</w:t>
      </w:r>
    </w:p>
    <w:p w14:paraId="22209112">
      <w:pPr>
        <w:pStyle w:val="31"/>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内审小组组长介绍本次审核的目的、依据、范围、方法和日程安排</w:t>
      </w:r>
    </w:p>
    <w:p w14:paraId="73BC1994">
      <w:pPr>
        <w:pStyle w:val="31"/>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确认审核过程中的沟通方式和渠道</w:t>
      </w:r>
    </w:p>
    <w:p w14:paraId="606D2F1B">
      <w:pPr>
        <w:pStyle w:val="31"/>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内审小组组长指定专人负责参会人员的签到与会议纪要</w:t>
      </w:r>
    </w:p>
    <w:p w14:paraId="533CDF83">
      <w:pPr>
        <w:pStyle w:val="33"/>
        <w:bidi w:val="0"/>
        <w:rPr>
          <w:rFonts w:hint="default"/>
          <w:lang w:val="en-US" w:eastAsia="zh-CN"/>
        </w:rPr>
      </w:pPr>
      <w:bookmarkStart w:id="33" w:name="_Toc6421"/>
      <w:bookmarkStart w:id="34" w:name="_Toc6899"/>
      <w:r>
        <w:rPr>
          <w:rFonts w:hint="default"/>
          <w:lang w:val="en-US" w:eastAsia="zh-CN"/>
        </w:rPr>
        <w:t>现场收集客观证据</w:t>
      </w:r>
      <w:bookmarkEnd w:id="33"/>
      <w:bookmarkEnd w:id="34"/>
    </w:p>
    <w:p w14:paraId="59A7F8D4">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内审员按照审核日程安排和《内审检查表》内容要求，到审核现场进行逐项检查，通过以下方式收集客观证据：</w:t>
      </w:r>
    </w:p>
    <w:p w14:paraId="56765D56">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文件查阅：检查制度文件、过程记录、报告等</w:t>
      </w:r>
    </w:p>
    <w:p w14:paraId="1C8CB179">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现场观察：观察实际操作是否符合规范</w:t>
      </w:r>
    </w:p>
    <w:p w14:paraId="53910EE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人员访谈：与相关人员沟通了解执行情况</w:t>
      </w:r>
    </w:p>
    <w:p w14:paraId="24085E01">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数据核查：检查KPI数据、度量数据的真实性和准确性</w:t>
      </w:r>
    </w:p>
    <w:p w14:paraId="7BB73E5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现场发现问题时，内审员应与该项工作的负责人员进行确认，以保证不符合项能够完全被理解，有利于后期采取正确的纠正措施。</w:t>
      </w:r>
    </w:p>
    <w:p w14:paraId="1B087B0F">
      <w:pPr>
        <w:pStyle w:val="33"/>
        <w:bidi w:val="0"/>
        <w:rPr>
          <w:rFonts w:hint="default"/>
          <w:lang w:val="en-US" w:eastAsia="zh-CN"/>
        </w:rPr>
      </w:pPr>
      <w:bookmarkStart w:id="35" w:name="_Toc27036"/>
      <w:bookmarkStart w:id="36" w:name="_Toc26852"/>
      <w:r>
        <w:rPr>
          <w:rFonts w:hint="default"/>
          <w:lang w:val="en-US" w:eastAsia="zh-CN"/>
        </w:rPr>
        <w:t>确认不符合项</w:t>
      </w:r>
      <w:bookmarkEnd w:id="35"/>
      <w:bookmarkEnd w:id="36"/>
    </w:p>
    <w:p w14:paraId="140BBF9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内审小组对内审中收集的客观证据进行充分讨论，确定符合项与不符合项。当实际执行的客观证据不足以证明相关流程被执行时，审核员可据此开具不符合项。</w:t>
      </w:r>
    </w:p>
    <w:p w14:paraId="1849FB9C">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不符合项的分类：</w:t>
      </w:r>
    </w:p>
    <w:p w14:paraId="7769D3A7">
      <w:pPr>
        <w:pStyle w:val="31"/>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严重不符合项：系统性失效、流程缺失、重大风险、影响服务连续性的问题</w:t>
      </w:r>
    </w:p>
    <w:p w14:paraId="691179FA">
      <w:pPr>
        <w:pStyle w:val="31"/>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一般不符合项：个别执行偏差、记录不完整、局部不规范的问题</w:t>
      </w:r>
    </w:p>
    <w:p w14:paraId="1E888319">
      <w:pPr>
        <w:pStyle w:val="31"/>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观察项：潜在风险或改进机会，尚未形成不符合</w:t>
      </w:r>
    </w:p>
    <w:p w14:paraId="3E1B1CE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内审小组依据问题可能造成的影响程度和范围，确定不符合项的性质。确定不符合项时，审核员应以ITSS标准以及公司相关制度为依据，以运行记录和现场事实为证据，保持客观公正。</w:t>
      </w:r>
    </w:p>
    <w:p w14:paraId="0F8B186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内审小组组长根据各内审员填写的《内审检查表》编写《内审不符合项整改报告》</w:t>
      </w:r>
      <w:r>
        <w:rPr>
          <w:rFonts w:hint="eastAsia"/>
          <w:lang w:val="en-US" w:eastAsia="zh-CN"/>
        </w:rPr>
        <w:t>。</w:t>
      </w:r>
    </w:p>
    <w:p w14:paraId="2AAFBF2B">
      <w:pPr>
        <w:pStyle w:val="33"/>
        <w:bidi w:val="0"/>
        <w:rPr>
          <w:rFonts w:hint="default"/>
          <w:lang w:val="en-US" w:eastAsia="zh-CN"/>
        </w:rPr>
      </w:pPr>
      <w:bookmarkStart w:id="37" w:name="_Toc3046"/>
      <w:bookmarkStart w:id="38" w:name="_Toc4596"/>
      <w:r>
        <w:rPr>
          <w:rFonts w:hint="default"/>
          <w:lang w:val="en-US" w:eastAsia="zh-CN"/>
        </w:rPr>
        <w:t>内审末次会议</w:t>
      </w:r>
      <w:bookmarkEnd w:id="37"/>
      <w:bookmarkEnd w:id="38"/>
    </w:p>
    <w:p w14:paraId="61B552E9">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内审小组组长主持召开内审末次会议，参会人员包括：</w:t>
      </w:r>
    </w:p>
    <w:p w14:paraId="221292F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内审小组全体成员</w:t>
      </w:r>
    </w:p>
    <w:p w14:paraId="2765C5B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受审核部门负责人及陪同人员</w:t>
      </w:r>
    </w:p>
    <w:p w14:paraId="68CC644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质量部经理</w:t>
      </w:r>
    </w:p>
    <w:p w14:paraId="79F04A5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必要时邀请管理层参加</w:t>
      </w:r>
    </w:p>
    <w:p w14:paraId="6BBBAB06">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会议内容：</w:t>
      </w:r>
    </w:p>
    <w:p w14:paraId="0626C0D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内审小组组长说明本次审核的总体情况</w:t>
      </w:r>
    </w:p>
    <w:p w14:paraId="1BF22FA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宣读内部审核不符合报告，按重要程度依次说明</w:t>
      </w:r>
    </w:p>
    <w:p w14:paraId="6DDA3AF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内审小组就各个不符合项回答受审核部门提出的问题</w:t>
      </w:r>
    </w:p>
    <w:p w14:paraId="40FFAA1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对受审核部门应采取的纠正措施提出整改建议</w:t>
      </w:r>
    </w:p>
    <w:p w14:paraId="5C05590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受审核部门负责人对不符合项进行确认</w:t>
      </w:r>
    </w:p>
    <w:p w14:paraId="5E5BFE0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内审小组组长指定专人负责参会人员的签到与会议记录</w:t>
      </w:r>
    </w:p>
    <w:p w14:paraId="3E9DCD76">
      <w:pPr>
        <w:pStyle w:val="33"/>
        <w:bidi w:val="0"/>
        <w:rPr>
          <w:rFonts w:hint="default"/>
          <w:lang w:val="en-US" w:eastAsia="zh-CN"/>
        </w:rPr>
      </w:pPr>
      <w:bookmarkStart w:id="39" w:name="_Toc12950"/>
      <w:bookmarkStart w:id="40" w:name="_Toc7435"/>
      <w:r>
        <w:rPr>
          <w:rFonts w:hint="default"/>
          <w:lang w:val="en-US" w:eastAsia="zh-CN"/>
        </w:rPr>
        <w:t>编制内部审核报告</w:t>
      </w:r>
      <w:bookmarkEnd w:id="39"/>
      <w:bookmarkEnd w:id="40"/>
    </w:p>
    <w:p w14:paraId="465C44BF">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审核结束后，内审组长应编写《内部审核报告》，如实反映审核结果，内容包括：</w:t>
      </w:r>
    </w:p>
    <w:p w14:paraId="6B1B8A71">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审核目的、范围、依据和方法</w:t>
      </w:r>
    </w:p>
    <w:p w14:paraId="52F3BD95">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审核组成员和审核日程</w:t>
      </w:r>
    </w:p>
    <w:p w14:paraId="4B65431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审核发现总结</w:t>
      </w:r>
    </w:p>
    <w:p w14:paraId="6742E5A5">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不符合项统计和分析</w:t>
      </w:r>
    </w:p>
    <w:p w14:paraId="5E0BDB0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体系运行总体评价</w:t>
      </w:r>
    </w:p>
    <w:p w14:paraId="65EFA08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改进建议</w:t>
      </w:r>
    </w:p>
    <w:p w14:paraId="4916771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《内部审核报告》报总经理审批后，由内审组长发放至相关受审部门。内部审核的结果应作为管理评审的重要输入。</w:t>
      </w:r>
    </w:p>
    <w:p w14:paraId="7BEC7066">
      <w:pPr>
        <w:pStyle w:val="33"/>
        <w:bidi w:val="0"/>
        <w:rPr>
          <w:rFonts w:hint="default"/>
          <w:lang w:val="en-US" w:eastAsia="zh-CN"/>
        </w:rPr>
      </w:pPr>
      <w:bookmarkStart w:id="41" w:name="_Toc31306"/>
      <w:bookmarkStart w:id="42" w:name="_Toc27680"/>
      <w:r>
        <w:rPr>
          <w:rFonts w:hint="default"/>
          <w:lang w:val="en-US" w:eastAsia="zh-CN"/>
        </w:rPr>
        <w:t>跟踪验证</w:t>
      </w:r>
      <w:bookmarkEnd w:id="41"/>
      <w:bookmarkEnd w:id="42"/>
    </w:p>
    <w:p w14:paraId="4191A0D1">
      <w:pPr>
        <w:pStyle w:val="31"/>
        <w:bidi w:val="0"/>
        <w:rPr>
          <w:rFonts w:hint="default"/>
          <w:lang w:val="en-US" w:eastAsia="zh-CN"/>
        </w:rPr>
      </w:pPr>
      <w:r>
        <w:rPr>
          <w:rFonts w:hint="default"/>
          <w:lang w:val="en-US" w:eastAsia="zh-CN"/>
        </w:rPr>
        <w:t>受审核部门接到《内审不符合项整改报告》后，应及时分析原因，制定纠正措施，明确责任人和完成期限，填写整改计划，报部门负责人审批。</w:t>
      </w:r>
    </w:p>
    <w:p w14:paraId="3369BCE0">
      <w:pPr>
        <w:pStyle w:val="31"/>
        <w:bidi w:val="0"/>
        <w:rPr>
          <w:rFonts w:hint="default"/>
          <w:lang w:val="en-US" w:eastAsia="zh-CN"/>
        </w:rPr>
      </w:pPr>
      <w:r>
        <w:rPr>
          <w:rFonts w:hint="default"/>
          <w:lang w:val="en-US" w:eastAsia="zh-CN"/>
        </w:rPr>
        <w:t>部门负责人批准整改计划后，受审部门将整改计划报备质量部。</w:t>
      </w:r>
    </w:p>
    <w:p w14:paraId="26B9D086">
      <w:pPr>
        <w:pStyle w:val="31"/>
        <w:bidi w:val="0"/>
        <w:rPr>
          <w:rFonts w:hint="default"/>
          <w:lang w:val="en-US" w:eastAsia="zh-CN"/>
        </w:rPr>
      </w:pPr>
      <w:r>
        <w:rPr>
          <w:rFonts w:hint="default"/>
          <w:lang w:val="en-US" w:eastAsia="zh-CN"/>
        </w:rPr>
        <w:t>受审核部门开始实施整改计划，质量部跟踪纠正措施的执行情况。</w:t>
      </w:r>
    </w:p>
    <w:p w14:paraId="06494047">
      <w:pPr>
        <w:pStyle w:val="31"/>
        <w:bidi w:val="0"/>
        <w:rPr>
          <w:rFonts w:hint="default"/>
          <w:lang w:val="en-US" w:eastAsia="zh-CN"/>
        </w:rPr>
      </w:pPr>
      <w:r>
        <w:rPr>
          <w:rFonts w:hint="default"/>
          <w:lang w:val="en-US" w:eastAsia="zh-CN"/>
        </w:rPr>
        <w:t>纠正措施预定日期已到或接到纠正措施已完成的通知时，质量部应委派内审员到受审核部门，参与验证该纠正措施完成效果的验证评审。验证内容包括：</w:t>
      </w:r>
    </w:p>
    <w:p w14:paraId="4103A62C">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整改措施是否按计划完成</w:t>
      </w:r>
    </w:p>
    <w:p w14:paraId="52A33F8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整改效果是否达到预期目标</w:t>
      </w:r>
    </w:p>
    <w:p w14:paraId="788B56D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是否有新的问题产生</w:t>
      </w:r>
    </w:p>
    <w:p w14:paraId="2F85D78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验证通过后，内审员在《内审不符合项整改报告》的“跟踪验证”栏中签字确认。验证未通过的，返回受审核部门重新整改。</w:t>
      </w:r>
    </w:p>
    <w:p w14:paraId="680B89C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657"/>
      <w:bookmarkStart w:id="44" w:name="_Toc996"/>
      <w:bookmarkStart w:id="45" w:name="_Toc25664"/>
      <w:r>
        <w:rPr>
          <w:rFonts w:hint="eastAsia"/>
          <w:lang w:val="en-US" w:eastAsia="zh-CN"/>
        </w:rPr>
        <w:t>KPI指标</w:t>
      </w:r>
      <w:bookmarkEnd w:id="43"/>
      <w:bookmarkEnd w:id="44"/>
      <w:bookmarkEnd w:id="45"/>
    </w:p>
    <w:p w14:paraId="40327254">
      <w:pPr>
        <w:pStyle w:val="31"/>
        <w:rPr>
          <w:rFonts w:hint="default"/>
          <w:lang w:val="en-US" w:eastAsia="zh-CN"/>
        </w:rPr>
      </w:pPr>
      <w:r>
        <w:rPr>
          <w:rFonts w:hint="eastAsia"/>
          <w:lang w:val="en-US" w:eastAsia="zh-CN"/>
        </w:rPr>
        <w:t>内审管理指标如表5-1所示</w:t>
      </w:r>
    </w:p>
    <w:p w14:paraId="0C24C61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6" w:name="_Toc3793"/>
      <w:r>
        <w:rPr>
          <w:rFonts w:hint="eastAsia"/>
          <w:lang w:val="en-US" w:eastAsia="zh-CN"/>
        </w:rPr>
        <w:t xml:space="preserve"> KPI指标表</w:t>
      </w:r>
      <w:bookmarkEnd w:id="46"/>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3"/>
        <w:gridCol w:w="3562"/>
        <w:gridCol w:w="1413"/>
        <w:gridCol w:w="1774"/>
      </w:tblGrid>
      <w:tr w14:paraId="6CA5A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73" w:type="dxa"/>
            <w:tcBorders>
              <w:top w:val="single" w:color="auto" w:sz="12" w:space="0"/>
              <w:left w:val="single" w:color="auto" w:sz="12" w:space="0"/>
              <w:bottom w:val="nil"/>
              <w:right w:val="nil"/>
            </w:tcBorders>
            <w:tcMar>
              <w:top w:w="-1" w:type="dxa"/>
              <w:left w:w="-1" w:type="dxa"/>
              <w:bottom w:w="-1" w:type="dxa"/>
              <w:right w:w="-1" w:type="dxa"/>
            </w:tcMar>
            <w:vAlign w:val="center"/>
          </w:tcPr>
          <w:p w14:paraId="1512AF07">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指标名称</w:t>
            </w:r>
          </w:p>
        </w:tc>
        <w:tc>
          <w:tcPr>
            <w:tcW w:w="3562" w:type="dxa"/>
            <w:tcBorders>
              <w:top w:val="single" w:color="auto" w:sz="12" w:space="0"/>
              <w:left w:val="single" w:color="auto" w:sz="4" w:space="0"/>
              <w:bottom w:val="nil"/>
              <w:right w:val="nil"/>
            </w:tcBorders>
            <w:tcMar>
              <w:top w:w="-1" w:type="dxa"/>
              <w:left w:w="-1" w:type="dxa"/>
              <w:bottom w:w="-1" w:type="dxa"/>
              <w:right w:w="-1" w:type="dxa"/>
            </w:tcMar>
            <w:vAlign w:val="center"/>
          </w:tcPr>
          <w:p w14:paraId="5308B5E8">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指标计算方式</w:t>
            </w:r>
          </w:p>
        </w:tc>
        <w:tc>
          <w:tcPr>
            <w:tcW w:w="1413" w:type="dxa"/>
            <w:tcBorders>
              <w:top w:val="single" w:color="auto" w:sz="12" w:space="0"/>
              <w:left w:val="single" w:color="auto" w:sz="4" w:space="0"/>
              <w:bottom w:val="nil"/>
              <w:right w:val="nil"/>
            </w:tcBorders>
            <w:tcMar>
              <w:top w:w="-1" w:type="dxa"/>
              <w:left w:w="-1" w:type="dxa"/>
              <w:bottom w:w="-1" w:type="dxa"/>
              <w:right w:w="-1" w:type="dxa"/>
            </w:tcMar>
            <w:vAlign w:val="center"/>
          </w:tcPr>
          <w:p w14:paraId="2C9A2E81">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目标值</w:t>
            </w:r>
          </w:p>
        </w:tc>
        <w:tc>
          <w:tcPr>
            <w:tcW w:w="1774"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864A310">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考核频次</w:t>
            </w:r>
          </w:p>
        </w:tc>
      </w:tr>
      <w:tr w14:paraId="366F8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73"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7C07BC04">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内审次数</w:t>
            </w:r>
          </w:p>
        </w:tc>
        <w:tc>
          <w:tcPr>
            <w:tcW w:w="3562"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90133F4">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报告，内审报告数量</w:t>
            </w:r>
          </w:p>
        </w:tc>
        <w:tc>
          <w:tcPr>
            <w:tcW w:w="1413"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51E74DE">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1次</w:t>
            </w:r>
          </w:p>
        </w:tc>
        <w:tc>
          <w:tcPr>
            <w:tcW w:w="1774"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108792CB">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年度</w:t>
            </w:r>
          </w:p>
        </w:tc>
      </w:tr>
    </w:tbl>
    <w:p w14:paraId="7058F048">
      <w:pPr>
        <w:pStyle w:val="30"/>
        <w:bidi w:val="0"/>
        <w:rPr>
          <w:rFonts w:hint="eastAsia"/>
          <w:lang w:val="en-US" w:eastAsia="zh-CN"/>
        </w:rPr>
      </w:pPr>
      <w:bookmarkStart w:id="47" w:name="_Toc21385"/>
      <w:bookmarkStart w:id="48" w:name="_Toc26738"/>
      <w:r>
        <w:rPr>
          <w:rFonts w:hint="eastAsia"/>
          <w:lang w:val="en-US" w:eastAsia="zh-CN"/>
        </w:rPr>
        <w:t>输出的文件和记录</w:t>
      </w:r>
      <w:bookmarkEnd w:id="47"/>
      <w:bookmarkEnd w:id="48"/>
    </w:p>
    <w:p w14:paraId="6E7C887C">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11493"/>
      <w:r>
        <w:rPr>
          <w:rFonts w:hint="eastAsia"/>
          <w:lang w:val="en-US" w:eastAsia="zh-CN"/>
        </w:rPr>
        <w:t xml:space="preserve"> 输出文件和</w:t>
      </w:r>
      <w:bookmarkStart w:id="50" w:name="_GoBack"/>
      <w:bookmarkEnd w:id="50"/>
      <w:r>
        <w:rPr>
          <w:rFonts w:hint="eastAsia"/>
          <w:lang w:val="en-US" w:eastAsia="zh-CN"/>
        </w:rPr>
        <w:t>记录表</w:t>
      </w:r>
      <w:bookmarkEnd w:id="49"/>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84"/>
        <w:gridCol w:w="2069"/>
        <w:gridCol w:w="2069"/>
      </w:tblGrid>
      <w:tr w14:paraId="6A9AD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4384"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28D9CCA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文件和记录</w:t>
            </w:r>
          </w:p>
        </w:tc>
        <w:tc>
          <w:tcPr>
            <w:tcW w:w="206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BA10B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c>
          <w:tcPr>
            <w:tcW w:w="2069"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782F36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保存期限</w:t>
            </w:r>
          </w:p>
        </w:tc>
      </w:tr>
      <w:tr w14:paraId="69F38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E57B9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《年度内部审核计划》</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8C0557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AA650A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r w14:paraId="78201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74499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《内审员评定表》</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34252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0DD85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1CA34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8823A7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《内审检查表》</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A9A918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C8C19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3FAFC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974D5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《内审不符合项整改报告》</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460C70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11E92D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r w14:paraId="7E861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5B5F45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《内部审核报告》</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508CDF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25F7F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长期</w:t>
            </w:r>
          </w:p>
        </w:tc>
      </w:tr>
      <w:tr w14:paraId="4565A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9CBDB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《首次会议签到表》</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805AEA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88EEE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7B221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932D5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《末次会议签到表》</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C58F34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110A3F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5234E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D7047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《内审整改跟踪记录》</w:t>
            </w:r>
          </w:p>
        </w:tc>
        <w:tc>
          <w:tcPr>
            <w:tcW w:w="206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2084605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2069"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58EFF9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bl>
    <w:p w14:paraId="536C5AB6">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0304F"/>
    <w:multiLevelType w:val="singleLevel"/>
    <w:tmpl w:val="84C0304F"/>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3D91646"/>
    <w:multiLevelType w:val="singleLevel"/>
    <w:tmpl w:val="93D91646"/>
    <w:lvl w:ilvl="0" w:tentative="0">
      <w:start w:val="1"/>
      <w:numFmt w:val="decimal"/>
      <w:lvlText w:val="%1."/>
      <w:lvlJc w:val="left"/>
      <w:pPr>
        <w:ind w:left="425" w:hanging="425"/>
      </w:pPr>
      <w:rPr>
        <w:rFonts w:hint="default"/>
      </w:rPr>
    </w:lvl>
  </w:abstractNum>
  <w:abstractNum w:abstractNumId="3">
    <w:nsid w:val="9D4A1883"/>
    <w:multiLevelType w:val="singleLevel"/>
    <w:tmpl w:val="9D4A1883"/>
    <w:lvl w:ilvl="0" w:tentative="0">
      <w:start w:val="1"/>
      <w:numFmt w:val="decimal"/>
      <w:lvlText w:val="%1."/>
      <w:lvlJc w:val="left"/>
      <w:pPr>
        <w:ind w:left="425" w:hanging="425"/>
      </w:pPr>
      <w:rPr>
        <w:rFonts w:hint="default"/>
      </w:rPr>
    </w:lvl>
  </w:abstractNum>
  <w:abstractNum w:abstractNumId="4">
    <w:nsid w:val="B212472F"/>
    <w:multiLevelType w:val="singleLevel"/>
    <w:tmpl w:val="B212472F"/>
    <w:lvl w:ilvl="0" w:tentative="0">
      <w:start w:val="1"/>
      <w:numFmt w:val="decimal"/>
      <w:lvlText w:val="%1."/>
      <w:lvlJc w:val="left"/>
      <w:pPr>
        <w:ind w:left="425" w:hanging="425"/>
      </w:pPr>
      <w:rPr>
        <w:rFonts w:hint="default"/>
      </w:rPr>
    </w:lvl>
  </w:abstractNum>
  <w:abstractNum w:abstractNumId="5">
    <w:nsid w:val="C7CFC51B"/>
    <w:multiLevelType w:val="singleLevel"/>
    <w:tmpl w:val="C7CFC51B"/>
    <w:lvl w:ilvl="0" w:tentative="0">
      <w:start w:val="1"/>
      <w:numFmt w:val="decimal"/>
      <w:lvlText w:val="%1."/>
      <w:lvlJc w:val="left"/>
      <w:pPr>
        <w:ind w:left="425" w:hanging="425"/>
      </w:pPr>
      <w:rPr>
        <w:rFonts w:hint="default"/>
      </w:rPr>
    </w:lvl>
  </w:abstractNum>
  <w:abstractNum w:abstractNumId="6">
    <w:nsid w:val="10A0AC35"/>
    <w:multiLevelType w:val="singleLevel"/>
    <w:tmpl w:val="10A0AC35"/>
    <w:lvl w:ilvl="0" w:tentative="0">
      <w:start w:val="1"/>
      <w:numFmt w:val="decimal"/>
      <w:lvlText w:val="%1."/>
      <w:lvlJc w:val="left"/>
      <w:pPr>
        <w:ind w:left="425" w:hanging="425"/>
      </w:pPr>
      <w:rPr>
        <w:rFonts w:hint="default"/>
      </w:rPr>
    </w:lvl>
  </w:abstractNum>
  <w:abstractNum w:abstractNumId="7">
    <w:nsid w:val="209DBC55"/>
    <w:multiLevelType w:val="singleLevel"/>
    <w:tmpl w:val="209DBC55"/>
    <w:lvl w:ilvl="0" w:tentative="0">
      <w:start w:val="1"/>
      <w:numFmt w:val="decimal"/>
      <w:lvlText w:val="%1."/>
      <w:lvlJc w:val="left"/>
      <w:pPr>
        <w:ind w:left="425" w:hanging="425"/>
      </w:pPr>
      <w:rPr>
        <w:rFonts w:hint="default"/>
      </w:rPr>
    </w:lvl>
  </w:abstractNum>
  <w:abstractNum w:abstractNumId="8">
    <w:nsid w:val="2B9F6467"/>
    <w:multiLevelType w:val="singleLevel"/>
    <w:tmpl w:val="2B9F6467"/>
    <w:lvl w:ilvl="0" w:tentative="0">
      <w:start w:val="1"/>
      <w:numFmt w:val="decimal"/>
      <w:lvlText w:val="%1."/>
      <w:lvlJc w:val="left"/>
      <w:pPr>
        <w:ind w:left="425" w:hanging="425"/>
      </w:pPr>
      <w:rPr>
        <w:rFonts w:hint="default"/>
      </w:rPr>
    </w:lvl>
  </w:abstractNum>
  <w:abstractNum w:abstractNumId="9">
    <w:nsid w:val="5986219E"/>
    <w:multiLevelType w:val="singleLevel"/>
    <w:tmpl w:val="5986219E"/>
    <w:lvl w:ilvl="0" w:tentative="0">
      <w:start w:val="1"/>
      <w:numFmt w:val="decimal"/>
      <w:lvlText w:val="%1."/>
      <w:lvlJc w:val="left"/>
      <w:pPr>
        <w:ind w:left="425" w:hanging="425"/>
      </w:pPr>
      <w:rPr>
        <w:rFonts w:hint="default"/>
      </w:rPr>
    </w:lvl>
  </w:abstractNum>
  <w:abstractNum w:abstractNumId="10">
    <w:nsid w:val="6844EB03"/>
    <w:multiLevelType w:val="singleLevel"/>
    <w:tmpl w:val="6844EB03"/>
    <w:lvl w:ilvl="0" w:tentative="0">
      <w:start w:val="1"/>
      <w:numFmt w:val="decimal"/>
      <w:lvlText w:val="%1."/>
      <w:lvlJc w:val="left"/>
      <w:pPr>
        <w:ind w:left="425" w:hanging="425"/>
      </w:pPr>
      <w:rPr>
        <w:rFonts w:hint="default"/>
      </w:rPr>
    </w:lvl>
  </w:abstractNum>
  <w:abstractNum w:abstractNumId="11">
    <w:nsid w:val="6928BF15"/>
    <w:multiLevelType w:val="singleLevel"/>
    <w:tmpl w:val="6928BF15"/>
    <w:lvl w:ilvl="0" w:tentative="0">
      <w:start w:val="1"/>
      <w:numFmt w:val="decimal"/>
      <w:lvlText w:val="%1."/>
      <w:lvlJc w:val="left"/>
      <w:pPr>
        <w:ind w:left="425" w:hanging="425"/>
      </w:pPr>
      <w:rPr>
        <w:rFonts w:hint="default"/>
      </w:rPr>
    </w:lvl>
  </w:abstractNum>
  <w:abstractNum w:abstractNumId="12">
    <w:nsid w:val="7AEA885A"/>
    <w:multiLevelType w:val="singleLevel"/>
    <w:tmpl w:val="7AEA885A"/>
    <w:lvl w:ilvl="0" w:tentative="0">
      <w:start w:val="1"/>
      <w:numFmt w:val="decimal"/>
      <w:lvlText w:val="%1."/>
      <w:lvlJc w:val="left"/>
      <w:pPr>
        <w:ind w:left="425" w:hanging="425"/>
      </w:pPr>
      <w:rPr>
        <w:rFonts w:hint="default"/>
      </w:rPr>
    </w:lvl>
  </w:abstractNum>
  <w:num w:numId="1">
    <w:abstractNumId w:val="1"/>
  </w:num>
  <w:num w:numId="2">
    <w:abstractNumId w:val="10"/>
  </w:num>
  <w:num w:numId="3">
    <w:abstractNumId w:val="6"/>
  </w:num>
  <w:num w:numId="4">
    <w:abstractNumId w:val="11"/>
  </w:num>
  <w:num w:numId="5">
    <w:abstractNumId w:val="8"/>
  </w:num>
  <w:num w:numId="6">
    <w:abstractNumId w:val="5"/>
  </w:num>
  <w:num w:numId="7">
    <w:abstractNumId w:val="9"/>
  </w:num>
  <w:num w:numId="8">
    <w:abstractNumId w:val="3"/>
  </w:num>
  <w:num w:numId="9">
    <w:abstractNumId w:val="2"/>
  </w:num>
  <w:num w:numId="10">
    <w:abstractNumId w:val="4"/>
  </w:num>
  <w:num w:numId="11">
    <w:abstractNumId w:val="12"/>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75D0E22"/>
    <w:rsid w:val="509B2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3345</Words>
  <Characters>3511</Characters>
  <Lines>0</Lines>
  <Paragraphs>0</Paragraphs>
  <TotalTime>12</TotalTime>
  <ScaleCrop>false</ScaleCrop>
  <LinksUpToDate>false</LinksUpToDate>
  <CharactersWithSpaces>3615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2026-03-24T14:32:35Z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