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运维服务验收管理制度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51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bookmarkStart w:id="1" w:name="_Toc4510"/>
          <w:r>
            <w:rPr>
              <w:rFonts w:ascii="宋体" w:eastAsia="宋体" w:hAnsi="宋体"/>
              <w:sz w:val="21"/>
            </w:rPr>
            <w:t>目录</w:t>
          </w:r>
        </w:p>
        <w:p>
          <w:pPr>
            <w:pStyle w:val="TOC1"/>
            <w:tabs>
              <w:tab w:val="right" w:leader="dot" w:pos="8306"/>
            </w:tabs>
          </w:pPr>
          <w:bookmarkStart w:id="2" w:name="_GoBack"/>
          <w:bookmarkEnd w:id="2"/>
          <w:r>
            <w:fldChar w:fldCharType="begin"/>
          </w:r>
          <w:r>
            <w:instrText xml:space="preserve">TOC \o "1-3" \h \u </w:instrText>
          </w:r>
          <w:r>
            <w:fldChar w:fldCharType="separate"/>
          </w:r>
          <w:r>
            <w:fldChar w:fldCharType="begin"/>
          </w:r>
          <w:r>
            <w:instrText xml:space="preserve"> HYPERLINK \l _Toc4683 </w:instrText>
          </w:r>
          <w:r>
            <w:fldChar w:fldCharType="separate"/>
          </w:r>
          <w:r>
            <w:rPr>
              <w:rFonts w:hint="default"/>
              <w:lang w:val="en-US" w:eastAsia="zh-CN"/>
            </w:rPr>
            <w:t>1. 目的</w:t>
          </w:r>
          <w:r>
            <w:tab/>
          </w:r>
          <w:r>
            <w:fldChar w:fldCharType="begin"/>
          </w:r>
          <w:r>
            <w:instrText xml:space="preserve"> PAGEREF _Toc4683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_Toc23798 </w:instrText>
          </w:r>
          <w:r>
            <w:fldChar w:fldCharType="separate"/>
          </w:r>
          <w:r>
            <w:rPr>
              <w:rFonts w:hint="default"/>
              <w:lang w:val="en-US" w:eastAsia="zh-CN"/>
            </w:rPr>
            <w:t>2. 范围</w:t>
          </w:r>
          <w:r>
            <w:tab/>
          </w:r>
          <w:r>
            <w:fldChar w:fldCharType="begin"/>
          </w:r>
          <w:r>
            <w:instrText xml:space="preserve"> PAGEREF _Toc23798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_Toc26030 </w:instrText>
          </w:r>
          <w:r>
            <w:fldChar w:fldCharType="separate"/>
          </w:r>
          <w:r>
            <w:rPr>
              <w:rFonts w:hint="default"/>
              <w:lang w:val="en-US" w:eastAsia="zh-CN"/>
            </w:rPr>
            <w:t>3. 职责与权限</w:t>
          </w:r>
          <w:r>
            <w:tab/>
          </w:r>
          <w:r>
            <w:fldChar w:fldCharType="begin"/>
          </w:r>
          <w:r>
            <w:instrText xml:space="preserve"> PAGEREF _Toc26030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_Toc22348 </w:instrText>
          </w:r>
          <w:r>
            <w:fldChar w:fldCharType="separate"/>
          </w:r>
          <w:r>
            <w:rPr>
              <w:rFonts w:hint="default"/>
              <w:lang w:val="en-US" w:eastAsia="zh-CN"/>
            </w:rPr>
            <w:t>3.1. 运维部</w:t>
          </w:r>
          <w:r>
            <w:tab/>
          </w:r>
          <w:r>
            <w:fldChar w:fldCharType="begin"/>
          </w:r>
          <w:r>
            <w:instrText xml:space="preserve"> PAGEREF _Toc22348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_Toc19791 </w:instrText>
          </w:r>
          <w:r>
            <w:fldChar w:fldCharType="separate"/>
          </w:r>
          <w:r>
            <w:rPr>
              <w:rFonts w:hint="default"/>
              <w:lang w:val="en-US" w:eastAsia="zh-CN"/>
            </w:rPr>
            <w:t>3.2. 质量部</w:t>
          </w:r>
          <w:r>
            <w:tab/>
          </w:r>
          <w:r>
            <w:fldChar w:fldCharType="begin"/>
          </w:r>
          <w:r>
            <w:instrText xml:space="preserve"> PAGEREF _Toc19791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_Toc27 </w:instrText>
          </w:r>
          <w:r>
            <w:fldChar w:fldCharType="separate"/>
          </w:r>
          <w:r>
            <w:rPr>
              <w:rFonts w:hint="default"/>
              <w:lang w:val="en-US" w:eastAsia="zh-CN"/>
            </w:rPr>
            <w:t>3.3. 技术中心</w:t>
          </w:r>
          <w:r>
            <w:tab/>
          </w:r>
          <w:r>
            <w:fldChar w:fldCharType="begin"/>
          </w:r>
          <w:r>
            <w:instrText xml:space="preserve"> PAGEREF _Toc27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_Toc2284 </w:instrText>
          </w:r>
          <w:r>
            <w:fldChar w:fldCharType="separate"/>
          </w:r>
          <w:r>
            <w:rPr>
              <w:rFonts w:hint="default"/>
              <w:lang w:val="en-US" w:eastAsia="zh-CN"/>
            </w:rPr>
            <w:t>3.4. 管理层</w:t>
          </w:r>
          <w:r>
            <w:tab/>
          </w:r>
          <w:r>
            <w:fldChar w:fldCharType="begin"/>
          </w:r>
          <w:r>
            <w:instrText xml:space="preserve"> PAGEREF _Toc2284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_Toc11214 </w:instrText>
          </w:r>
          <w:r>
            <w:fldChar w:fldCharType="separate"/>
          </w:r>
          <w:r>
            <w:rPr>
              <w:rFonts w:hint="default"/>
              <w:lang w:val="en-US" w:eastAsia="zh-CN"/>
            </w:rPr>
            <w:t>4. 验收类型</w:t>
          </w:r>
          <w:r>
            <w:tab/>
          </w:r>
          <w:r>
            <w:fldChar w:fldCharType="begin"/>
          </w:r>
          <w:r>
            <w:instrText xml:space="preserve"> PAGEREF _Toc11214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_Toc26713 </w:instrText>
          </w:r>
          <w:r>
            <w:fldChar w:fldCharType="separate"/>
          </w:r>
          <w:r>
            <w:rPr>
              <w:rFonts w:hint="default"/>
              <w:lang w:val="en-US" w:eastAsia="zh-CN"/>
            </w:rPr>
            <w:t>5. 验收依据与标准</w:t>
          </w:r>
          <w:r>
            <w:tab/>
          </w:r>
          <w:r>
            <w:fldChar w:fldCharType="begin"/>
          </w:r>
          <w:r>
            <w:instrText xml:space="preserve"> PAGEREF _Toc26713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_Toc27545 </w:instrText>
          </w:r>
          <w:r>
            <w:fldChar w:fldCharType="separate"/>
          </w:r>
          <w:r>
            <w:rPr>
              <w:rFonts w:hint="default"/>
              <w:lang w:val="en-US" w:eastAsia="zh-CN"/>
            </w:rPr>
            <w:t>6. 验收流程</w:t>
          </w:r>
          <w:r>
            <w:tab/>
          </w:r>
          <w:r>
            <w:fldChar w:fldCharType="begin"/>
          </w:r>
          <w:r>
            <w:instrText xml:space="preserve"> PAGEREF _Toc27545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_Toc32226 </w:instrText>
          </w:r>
          <w:r>
            <w:fldChar w:fldCharType="separate"/>
          </w:r>
          <w:r>
            <w:rPr>
              <w:rFonts w:hint="default"/>
              <w:lang w:val="en-US" w:eastAsia="zh-CN"/>
            </w:rPr>
            <w:t>6.1. 验收申请</w:t>
          </w:r>
          <w:r>
            <w:tab/>
          </w:r>
          <w:r>
            <w:fldChar w:fldCharType="begin"/>
          </w:r>
          <w:r>
            <w:instrText xml:space="preserve"> PAGEREF _Toc32226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_Toc24282 </w:instrText>
          </w:r>
          <w:r>
            <w:fldChar w:fldCharType="separate"/>
          </w:r>
          <w:r>
            <w:rPr>
              <w:rFonts w:hint="default"/>
              <w:lang w:val="en-US" w:eastAsia="zh-CN"/>
            </w:rPr>
            <w:t>6.2. 验收准备</w:t>
          </w:r>
          <w:r>
            <w:tab/>
          </w:r>
          <w:r>
            <w:fldChar w:fldCharType="begin"/>
          </w:r>
          <w:r>
            <w:instrText xml:space="preserve"> PAGEREF _Toc24282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_Toc28845 </w:instrText>
          </w:r>
          <w:r>
            <w:fldChar w:fldCharType="separate"/>
          </w:r>
          <w:r>
            <w:rPr>
              <w:rFonts w:hint="default"/>
              <w:lang w:val="en-US" w:eastAsia="zh-CN"/>
            </w:rPr>
            <w:t>6.3. 验收实施</w:t>
          </w:r>
          <w:r>
            <w:tab/>
          </w:r>
          <w:r>
            <w:fldChar w:fldCharType="begin"/>
          </w:r>
          <w:r>
            <w:instrText xml:space="preserve"> PAGEREF _Toc28845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_Toc26736 </w:instrText>
          </w:r>
          <w:r>
            <w:fldChar w:fldCharType="separate"/>
          </w:r>
          <w:r>
            <w:rPr>
              <w:rFonts w:hint="default"/>
              <w:lang w:val="en-US" w:eastAsia="zh-CN"/>
            </w:rPr>
            <w:t>6.4. 验收结论</w:t>
          </w:r>
          <w:r>
            <w:tab/>
          </w:r>
          <w:r>
            <w:fldChar w:fldCharType="begin"/>
          </w:r>
          <w:r>
            <w:instrText xml:space="preserve"> PAGEREF _Toc26736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_Toc22308 </w:instrText>
          </w:r>
          <w:r>
            <w:fldChar w:fldCharType="separate"/>
          </w:r>
          <w:r>
            <w:rPr>
              <w:rFonts w:hint="default"/>
              <w:lang w:val="en-US" w:eastAsia="zh-CN"/>
            </w:rPr>
            <w:t>6.5. 验收报告</w:t>
          </w:r>
          <w:r>
            <w:tab/>
          </w:r>
          <w:r>
            <w:fldChar w:fldCharType="begin"/>
          </w:r>
          <w:r>
            <w:instrText xml:space="preserve"> PAGEREF _Toc22308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_Toc12289 </w:instrText>
          </w:r>
          <w:r>
            <w:fldChar w:fldCharType="separate"/>
          </w:r>
          <w:r>
            <w:rPr>
              <w:rFonts w:hint="default"/>
              <w:lang w:val="en-US" w:eastAsia="zh-CN"/>
            </w:rPr>
            <w:t>6.6. 验收归档</w:t>
          </w:r>
          <w:r>
            <w:tab/>
          </w:r>
          <w:r>
            <w:fldChar w:fldCharType="begin"/>
          </w:r>
          <w:r>
            <w:instrText xml:space="preserve"> PAGEREF _Toc12289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_Toc430 </w:instrText>
          </w:r>
          <w:r>
            <w:fldChar w:fldCharType="separate"/>
          </w:r>
          <w:r>
            <w:rPr>
              <w:rFonts w:hint="default"/>
              <w:lang w:val="en-US" w:eastAsia="zh-CN"/>
            </w:rPr>
            <w:t>7. 验收不合格处理</w:t>
          </w:r>
          <w:r>
            <w:tab/>
          </w:r>
          <w:r>
            <w:fldChar w:fldCharType="begin"/>
          </w:r>
          <w:r>
            <w:instrText xml:space="preserve"> PAGEREF _Toc430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_Toc22088 </w:instrText>
          </w:r>
          <w:r>
            <w:fldChar w:fldCharType="separate"/>
          </w:r>
          <w:r>
            <w:rPr>
              <w:rFonts w:hint="default"/>
              <w:lang w:val="en-US" w:eastAsia="zh-CN"/>
            </w:rPr>
            <w:t>7.1. 整改要求</w:t>
          </w:r>
          <w:r>
            <w:tab/>
          </w:r>
          <w:r>
            <w:fldChar w:fldCharType="begin"/>
          </w:r>
          <w:r>
            <w:instrText xml:space="preserve"> PAGEREF _Toc22088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_Toc8263 </w:instrText>
          </w:r>
          <w:r>
            <w:fldChar w:fldCharType="separate"/>
          </w:r>
          <w:r>
            <w:rPr>
              <w:rFonts w:hint="default"/>
              <w:lang w:val="en-US" w:eastAsia="zh-CN"/>
            </w:rPr>
            <w:t>7.2. 整改流程</w:t>
          </w:r>
          <w:r>
            <w:tab/>
          </w:r>
          <w:r>
            <w:fldChar w:fldCharType="begin"/>
          </w:r>
          <w:r>
            <w:instrText xml:space="preserve"> PAGEREF _Toc8263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_Toc15575 </w:instrText>
          </w:r>
          <w:r>
            <w:fldChar w:fldCharType="separate"/>
          </w:r>
          <w:r>
            <w:rPr>
              <w:rFonts w:hint="default"/>
              <w:lang w:val="en-US" w:eastAsia="zh-CN"/>
            </w:rPr>
            <w:t>7.3. 验收争议处理</w:t>
          </w:r>
          <w:r>
            <w:tab/>
          </w:r>
          <w:r>
            <w:fldChar w:fldCharType="begin"/>
          </w:r>
          <w:r>
            <w:instrText xml:space="preserve"> PAGEREF _Toc15575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_Toc16815 </w:instrText>
          </w:r>
          <w:r>
            <w:fldChar w:fldCharType="separate"/>
          </w:r>
          <w:r>
            <w:rPr>
              <w:rFonts w:hint="default"/>
              <w:lang w:val="en-US" w:eastAsia="zh-CN"/>
            </w:rPr>
            <w:t>8. 输出的文件和记录</w:t>
          </w:r>
          <w:r>
            <w:tab/>
          </w:r>
          <w:r>
            <w:fldChar w:fldCharType="begin"/>
          </w:r>
          <w:r>
            <w:instrText xml:space="preserve"> PAGEREF _Toc16815 \h </w:instrText>
          </w:r>
          <w:r>
            <w:fldChar w:fldCharType="separate"/>
          </w:r>
          <w:r>
            <w:t>8</w:t>
          </w:r>
          <w:r>
            <w:fldChar w:fldCharType="end"/>
          </w:r>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End w:id="1"/>
        </w:p>
      </w:sdtContent>
    </w:sdt>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3" w:name="_Toc4683"/>
      <w:r>
        <w:rPr>
          <w:rFonts w:hint="default"/>
          <w:lang w:val="en-US" w:eastAsia="zh-CN"/>
        </w:rPr>
        <w:t>目的</w:t>
      </w:r>
      <w:bookmarkEnd w:id="3"/>
    </w:p>
    <w:p>
      <w:pPr>
        <w:pStyle w:val="a1"/>
        <w:bidi w:val="0"/>
        <w:rPr>
          <w:rFonts w:hint="default"/>
          <w:lang w:val="en-US" w:eastAsia="zh-CN"/>
        </w:rPr>
      </w:pPr>
      <w:r>
        <w:rPr>
          <w:rFonts w:hint="default"/>
          <w:lang w:val="en-US" w:eastAsia="zh-CN"/>
        </w:rPr>
        <w:t>本制度旨在规范天津图云智能科技有限公司运维服务项目的验收工作，确保交付的运维服务符合合同要求、SLA协议及客户期望，保证服务交付质量，提升客户满意度，并为后续服务改进提供依据。</w:t>
      </w:r>
    </w:p>
    <w:p>
      <w:pPr>
        <w:pStyle w:val="1"/>
        <w:bidi w:val="0"/>
        <w:rPr>
          <w:rFonts w:hint="default"/>
          <w:lang w:val="en-US" w:eastAsia="zh-CN"/>
        </w:rPr>
      </w:pPr>
      <w:bookmarkStart w:id="4" w:name="_Toc23798"/>
      <w:r>
        <w:rPr>
          <w:rFonts w:hint="default"/>
          <w:lang w:val="en-US" w:eastAsia="zh-CN"/>
        </w:rPr>
        <w:t>范围</w:t>
      </w:r>
      <w:bookmarkEnd w:id="4"/>
    </w:p>
    <w:p>
      <w:pPr>
        <w:pStyle w:val="a1"/>
        <w:bidi w:val="0"/>
        <w:rPr>
          <w:rFonts w:hint="default"/>
          <w:lang w:val="en-US" w:eastAsia="zh-CN"/>
        </w:rPr>
      </w:pPr>
      <w:r>
        <w:rPr>
          <w:rFonts w:hint="default"/>
          <w:lang w:val="en-US" w:eastAsia="zh-CN"/>
        </w:rPr>
        <w:t>本制度适用于公司所有运维服务项目的验收工作，包括新运维项目启动后的首次验收、运维项目周期结束后的终验、运维项目关键节点的阶段性验收、运维服务合同续签前的服务评估以及重大变更或升级后的验证验收。覆盖运维服务相关的所有部门：运维部、技术中心、质量部。</w:t>
      </w:r>
    </w:p>
    <w:p>
      <w:pPr>
        <w:pStyle w:val="1"/>
        <w:bidi w:val="0"/>
        <w:rPr>
          <w:rFonts w:hint="default"/>
          <w:lang w:val="en-US" w:eastAsia="zh-CN"/>
        </w:rPr>
      </w:pPr>
      <w:bookmarkStart w:id="5" w:name="_Toc26030"/>
      <w:r>
        <w:rPr>
          <w:rFonts w:hint="default"/>
          <w:lang w:val="en-US" w:eastAsia="zh-CN"/>
        </w:rPr>
        <w:t>职责与权限</w:t>
      </w:r>
      <w:bookmarkEnd w:id="5"/>
    </w:p>
    <w:p>
      <w:pPr>
        <w:pStyle w:val="2"/>
        <w:bidi w:val="0"/>
        <w:rPr>
          <w:rFonts w:hint="default"/>
          <w:lang w:val="en-US" w:eastAsia="zh-CN"/>
        </w:rPr>
      </w:pPr>
      <w:bookmarkStart w:id="6" w:name="_Toc22348"/>
      <w:r>
        <w:rPr>
          <w:rFonts w:hint="default"/>
          <w:lang w:val="en-US" w:eastAsia="zh-CN"/>
        </w:rPr>
        <w:t>运维部</w:t>
      </w:r>
      <w:bookmarkEnd w:id="6"/>
    </w:p>
    <w:p>
      <w:pPr>
        <w:pStyle w:val="a1"/>
        <w:bidi w:val="0"/>
        <w:rPr>
          <w:rFonts w:hint="default"/>
          <w:lang w:val="en-US" w:eastAsia="zh-CN"/>
        </w:rPr>
      </w:pPr>
      <w:r>
        <w:rPr>
          <w:rFonts w:hint="default"/>
          <w:lang w:val="en-US" w:eastAsia="zh-CN"/>
        </w:rPr>
        <w:t>运维部是验收工作的主要责任部门，负责运维服务项目的验收申请提交，准备验收所需的相关文档和资料。运维部应组织内部自检，确保交付成果符合验收标准，并配合质量部和客户进行验收实施。对于验收中发现的问题，运维部负责整改落实。运维项目经理作为验收的主要责任人，统筹项目验收工作。</w:t>
      </w:r>
    </w:p>
    <w:p>
      <w:pPr>
        <w:pStyle w:val="2"/>
        <w:bidi w:val="0"/>
        <w:rPr>
          <w:rFonts w:hint="default"/>
          <w:lang w:val="en-US" w:eastAsia="zh-CN"/>
        </w:rPr>
      </w:pPr>
      <w:bookmarkStart w:id="7" w:name="_Toc19791"/>
      <w:r>
        <w:rPr>
          <w:rFonts w:hint="default"/>
          <w:lang w:val="en-US" w:eastAsia="zh-CN"/>
        </w:rPr>
        <w:t>质量部</w:t>
      </w:r>
      <w:bookmarkEnd w:id="7"/>
    </w:p>
    <w:p>
      <w:pPr>
        <w:pStyle w:val="a1"/>
        <w:bidi w:val="0"/>
        <w:rPr>
          <w:rFonts w:hint="default"/>
          <w:lang w:val="en-US" w:eastAsia="zh-CN"/>
        </w:rPr>
      </w:pPr>
      <w:r>
        <w:rPr>
          <w:rFonts w:hint="default"/>
          <w:lang w:val="en-US" w:eastAsia="zh-CN"/>
        </w:rPr>
        <w:t>质量部负责监督验收流程的规范执行，参与重要项目的验收评审，对验收文档的完整性和规范性进行审核。质量部将验收结果纳入质量管理体系，作为质量改进的输入，并负责验收报告的归档管理。</w:t>
      </w:r>
    </w:p>
    <w:p>
      <w:pPr>
        <w:pStyle w:val="2"/>
        <w:bidi w:val="0"/>
        <w:rPr>
          <w:rFonts w:hint="default"/>
          <w:lang w:val="en-US" w:eastAsia="zh-CN"/>
        </w:rPr>
      </w:pPr>
      <w:bookmarkStart w:id="8" w:name="_Toc27"/>
      <w:r>
        <w:rPr>
          <w:rFonts w:hint="default"/>
          <w:lang w:val="en-US" w:eastAsia="zh-CN"/>
        </w:rPr>
        <w:t>技术中心</w:t>
      </w:r>
      <w:bookmarkEnd w:id="8"/>
    </w:p>
    <w:p>
      <w:pPr>
        <w:pStyle w:val="a1"/>
        <w:bidi w:val="0"/>
        <w:rPr>
          <w:rFonts w:hint="default"/>
          <w:lang w:val="en-US" w:eastAsia="zh-CN"/>
        </w:rPr>
      </w:pPr>
      <w:r>
        <w:rPr>
          <w:rFonts w:hint="default"/>
          <w:lang w:val="en-US" w:eastAsia="zh-CN"/>
        </w:rPr>
        <w:t>技术中心负责提供验收所需的技术支持和专业意见，参与技术类项目的验收评审，对技术方案、系统性能、技术指标等进行验证，并配合解决验收中发现的技术问题。</w:t>
      </w:r>
    </w:p>
    <w:p>
      <w:pPr>
        <w:pStyle w:val="2"/>
        <w:bidi w:val="0"/>
        <w:rPr>
          <w:rFonts w:hint="default"/>
          <w:lang w:val="en-US" w:eastAsia="zh-CN"/>
        </w:rPr>
      </w:pPr>
      <w:bookmarkStart w:id="9" w:name="_Toc2284"/>
      <w:r>
        <w:rPr>
          <w:rFonts w:hint="default"/>
          <w:lang w:val="en-US" w:eastAsia="zh-CN"/>
        </w:rPr>
        <w:t>管理层</w:t>
      </w:r>
      <w:bookmarkEnd w:id="9"/>
    </w:p>
    <w:p>
      <w:pPr>
        <w:pStyle w:val="a1"/>
        <w:bidi w:val="0"/>
        <w:rPr>
          <w:rFonts w:hint="default"/>
          <w:lang w:val="en-US" w:eastAsia="zh-CN"/>
        </w:rPr>
      </w:pPr>
      <w:r>
        <w:rPr>
          <w:rFonts w:hint="default"/>
          <w:lang w:val="en-US" w:eastAsia="zh-CN"/>
        </w:rPr>
        <w:t>管理层负责审批重大项目的验收报告，对验收中出现的重大争议进行决策，并为验收工作提供必要的资源支持。</w:t>
      </w:r>
    </w:p>
    <w:p>
      <w:pPr>
        <w:pStyle w:val="1"/>
        <w:bidi w:val="0"/>
        <w:rPr>
          <w:rFonts w:hint="default"/>
          <w:lang w:val="en-US" w:eastAsia="zh-CN"/>
        </w:rPr>
      </w:pPr>
      <w:bookmarkStart w:id="10" w:name="_Toc11214"/>
      <w:r>
        <w:rPr>
          <w:rFonts w:hint="default"/>
          <w:lang w:val="en-US" w:eastAsia="zh-CN"/>
        </w:rPr>
        <w:t>验收类型</w:t>
      </w:r>
      <w:bookmarkEnd w:id="10"/>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验收工作根据项目特点和服务周期，分为以下三种类型：</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项目类验收包括启动验收、中期验收和终验。</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启动验收在项目启动时进行，确认项目启动条件是否满足；</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中期验收在项目关键节点达成时进行，确认里程碑成果；终验在项目全部完成后进行，确认整体交付成果。</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周期性验收包括年度验收、季度验收和合同续签验收。</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年度验收在每年度服务周期结束前进行，季度验收配合服务报告提交进行，合同续签验收在合同到期前进行服务评估。</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阶段性验收包括变更验收、应急恢复验收和新增服务验收。</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变更验收在重大变更实施后进行，应急恢复验收在重大故障恢复后进行，新增服务验收在服务范围扩展时进行。</w:t>
      </w:r>
    </w:p>
    <w:p>
      <w:pPr>
        <w:pStyle w:val="1"/>
        <w:bidi w:val="0"/>
        <w:rPr>
          <w:rFonts w:hint="default"/>
          <w:lang w:val="en-US" w:eastAsia="zh-CN"/>
        </w:rPr>
      </w:pPr>
      <w:bookmarkStart w:id="11" w:name="_Toc26713"/>
      <w:r>
        <w:rPr>
          <w:rFonts w:hint="default"/>
          <w:lang w:val="en-US" w:eastAsia="zh-CN"/>
        </w:rPr>
        <w:t>验收依据与标准</w:t>
      </w:r>
      <w:bookmarkEnd w:id="11"/>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工作应依据以下文件和要求进行：运维服务合同、技术协议、SLA协议等合同文件；国家或行业标准、公司技术规范等技术规范；客户需求说明书、功能需求清单等需求文档；技术方案、实施方案、部署方案等设计文档；服务报告、事件记录、变更记录等过程记录；以及服务级别协议中约定的KPI指标。</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标准应从以下维度进行衡量：交付成果是否满足合同和需求，即功能完整性；SLA指标达成情况，即服务质量；交付文档是否齐全规范，即文档完整性；系统性能、响应时间等技术指标是否符合规范要求；客户对交付成果的认可度；以及遗留问题的处理情况。</w:t>
      </w:r>
    </w:p>
    <w:p>
      <w:pPr>
        <w:pStyle w:val="1"/>
        <w:bidi w:val="0"/>
        <w:rPr>
          <w:rFonts w:hint="default"/>
          <w:lang w:val="en-US" w:eastAsia="zh-CN"/>
        </w:rPr>
      </w:pPr>
      <w:bookmarkStart w:id="12" w:name="_Toc27545"/>
      <w:r>
        <w:rPr>
          <w:rFonts w:hint="default"/>
          <w:lang w:val="en-US" w:eastAsia="zh-CN"/>
        </w:rPr>
        <w:t>验收流程</w:t>
      </w:r>
      <w:bookmarkEnd w:id="12"/>
    </w:p>
    <w:p>
      <w:pPr>
        <w:pStyle w:val="2"/>
        <w:bidi w:val="0"/>
        <w:rPr>
          <w:rFonts w:hint="default"/>
          <w:lang w:val="en-US" w:eastAsia="zh-CN"/>
        </w:rPr>
      </w:pPr>
      <w:bookmarkStart w:id="13" w:name="_Toc32226"/>
      <w:r>
        <w:rPr>
          <w:rFonts w:hint="default"/>
          <w:lang w:val="en-US" w:eastAsia="zh-CN"/>
        </w:rPr>
        <w:t>验收申请</w:t>
      </w:r>
      <w:bookmarkEnd w:id="13"/>
    </w:p>
    <w:p>
      <w:pPr>
        <w:pStyle w:val="a1"/>
        <w:bidi w:val="0"/>
        <w:rPr>
          <w:rFonts w:hint="default"/>
          <w:lang w:val="en-US" w:eastAsia="zh-CN"/>
        </w:rPr>
      </w:pPr>
      <w:r>
        <w:rPr>
          <w:rFonts w:hint="default"/>
          <w:lang w:val="en-US" w:eastAsia="zh-CN"/>
        </w:rPr>
        <w:t>运维项目经理在项目关键节点达成后5个工作日内、服务周期结束前10个工作日内或重大变更实施完成后3个工作日内，提交《验收申请表》。</w:t>
      </w:r>
    </w:p>
    <w:p>
      <w:pPr>
        <w:pStyle w:val="a1"/>
        <w:bidi w:val="0"/>
        <w:rPr>
          <w:rFonts w:hint="default"/>
          <w:lang w:val="en-US" w:eastAsia="zh-CN"/>
        </w:rPr>
      </w:pPr>
      <w:r>
        <w:rPr>
          <w:rFonts w:hint="default"/>
          <w:lang w:val="en-US" w:eastAsia="zh-CN"/>
        </w:rPr>
        <w:t>《验收申请表》应包括项目基本信息、申请验收类型、交付成果清单、自检结论和申请验收时间。</w:t>
      </w:r>
    </w:p>
    <w:p>
      <w:pPr>
        <w:pStyle w:val="2"/>
        <w:bidi w:val="0"/>
        <w:rPr>
          <w:rFonts w:hint="default"/>
          <w:lang w:val="en-US" w:eastAsia="zh-CN"/>
        </w:rPr>
      </w:pPr>
      <w:bookmarkStart w:id="14" w:name="_Toc24282"/>
      <w:r>
        <w:rPr>
          <w:rFonts w:hint="default"/>
          <w:lang w:val="en-US" w:eastAsia="zh-CN"/>
        </w:rPr>
        <w:t>验收准备</w:t>
      </w:r>
      <w:bookmarkEnd w:id="14"/>
    </w:p>
    <w:p>
      <w:pPr>
        <w:pStyle w:val="a1"/>
        <w:bidi w:val="0"/>
        <w:rPr>
          <w:rFonts w:hint="default"/>
          <w:lang w:val="en-US" w:eastAsia="zh-CN"/>
        </w:rPr>
      </w:pPr>
      <w:r>
        <w:rPr>
          <w:rFonts w:hint="default"/>
          <w:lang w:val="en-US" w:eastAsia="zh-CN"/>
        </w:rPr>
        <w:t>验收申请通过后，运维部应在5个工作日内完成以下准备工作：</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成立由运维项目经理担任组长，质量部代表、技术中心代表为成员的验收小组，必要时邀请客户代表参与；</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准备验收所需资料，包括合同及SLA协议、需求规格说明书、技术方案、服务报告、事件记录、KPI达成情况统计、客户满意度调查结果和自检报告等；</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制定验收方案，明确验收范围、方法、标准、时间安排和人员分工。</w:t>
      </w:r>
    </w:p>
    <w:p>
      <w:pPr>
        <w:pStyle w:val="2"/>
        <w:bidi w:val="0"/>
        <w:rPr>
          <w:rFonts w:hint="default"/>
          <w:lang w:val="en-US" w:eastAsia="zh-CN"/>
        </w:rPr>
      </w:pPr>
      <w:bookmarkStart w:id="15" w:name="_Toc28845"/>
      <w:r>
        <w:rPr>
          <w:rFonts w:hint="default"/>
          <w:lang w:val="en-US" w:eastAsia="zh-CN"/>
        </w:rPr>
        <w:t>验收实施</w:t>
      </w:r>
      <w:bookmarkEnd w:id="15"/>
    </w:p>
    <w:p>
      <w:pPr>
        <w:pStyle w:val="a1"/>
        <w:bidi w:val="0"/>
        <w:rPr>
          <w:rFonts w:hint="default"/>
          <w:lang w:val="en-US" w:eastAsia="zh-CN"/>
        </w:rPr>
      </w:pPr>
      <w:r>
        <w:rPr>
          <w:rFonts w:hint="default"/>
          <w:lang w:val="en-US" w:eastAsia="zh-CN"/>
        </w:rPr>
        <w:t>验收小组按照验收方案实施验收工作，包括资料审查、数据验证、现场验证和客户确认。资料审查主要检查交付文档的完整性和规范性；数据验证主要核对KPI数据和服务报告数据的准确性；现场验证根据需要进行现场演示或系统检查；客户确认是与客户沟通，确认服务交付符合客户期望。验收过程中发现的问题应及时记录。</w:t>
      </w:r>
    </w:p>
    <w:p>
      <w:pPr>
        <w:pStyle w:val="2"/>
        <w:bidi w:val="0"/>
        <w:rPr>
          <w:rFonts w:hint="default"/>
          <w:lang w:val="en-US" w:eastAsia="zh-CN"/>
        </w:rPr>
      </w:pPr>
      <w:bookmarkStart w:id="16" w:name="_Toc26736"/>
      <w:r>
        <w:rPr>
          <w:rFonts w:hint="default"/>
          <w:lang w:val="en-US" w:eastAsia="zh-CN"/>
        </w:rPr>
        <w:t>验收结论</w:t>
      </w:r>
      <w:bookmarkEnd w:id="16"/>
    </w:p>
    <w:p>
      <w:pPr>
        <w:pStyle w:val="a1"/>
        <w:bidi w:val="0"/>
        <w:rPr>
          <w:rFonts w:hint="default"/>
          <w:lang w:val="en-US" w:eastAsia="zh-CN"/>
        </w:rPr>
      </w:pPr>
      <w:r>
        <w:rPr>
          <w:rFonts w:hint="default"/>
          <w:lang w:val="en-US" w:eastAsia="zh-CN"/>
        </w:rPr>
        <w:t>验收小组根据验收结果形成以下结论之一：</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通过，即所有验收项均符合标准；有条件通过，即存在少量非关键问题但不影响整体交付，需明确整改要求和时限，整改后补充确认；不通过，即存在关键问题未达到验收标准，需进入整改流程，整改后重新验收。</w:t>
      </w:r>
    </w:p>
    <w:p>
      <w:pPr>
        <w:pStyle w:val="2"/>
        <w:bidi w:val="0"/>
        <w:rPr>
          <w:rFonts w:hint="default"/>
          <w:lang w:val="en-US" w:eastAsia="zh-CN"/>
        </w:rPr>
      </w:pPr>
      <w:bookmarkStart w:id="17" w:name="_Toc22308"/>
      <w:r>
        <w:rPr>
          <w:rFonts w:hint="default"/>
          <w:lang w:val="en-US" w:eastAsia="zh-CN"/>
        </w:rPr>
        <w:t>验收报告</w:t>
      </w:r>
      <w:bookmarkEnd w:id="17"/>
    </w:p>
    <w:p>
      <w:pPr>
        <w:pStyle w:val="a1"/>
        <w:bidi w:val="0"/>
        <w:rPr>
          <w:rFonts w:hint="default"/>
          <w:lang w:val="en-US" w:eastAsia="zh-CN"/>
        </w:rPr>
      </w:pPr>
      <w:r>
        <w:rPr>
          <w:rFonts w:hint="default"/>
          <w:lang w:val="en-US" w:eastAsia="zh-CN"/>
        </w:rPr>
        <w:t>验收小组在验收完成后5个工作日内编制《验收报告》，内容包括项目基本信息、验收时间地点及参与人员、验收依据和标准、验收内容和方法、验收结果逐项说明、发现问题及处理意见、验收结论、客户确认意见以及后续建议。《验收报告》需经运维项目经理、质量部代表、技术中心代表签字确认，必要时由客户代表签字确认。</w:t>
      </w:r>
    </w:p>
    <w:p>
      <w:pPr>
        <w:pStyle w:val="2"/>
        <w:bidi w:val="0"/>
        <w:rPr>
          <w:rFonts w:hint="default"/>
          <w:lang w:val="en-US" w:eastAsia="zh-CN"/>
        </w:rPr>
      </w:pPr>
      <w:bookmarkStart w:id="18" w:name="_Toc12289"/>
      <w:r>
        <w:rPr>
          <w:rFonts w:hint="default"/>
          <w:lang w:val="en-US" w:eastAsia="zh-CN"/>
        </w:rPr>
        <w:t>验收归档</w:t>
      </w:r>
      <w:bookmarkEnd w:id="18"/>
    </w:p>
    <w:p>
      <w:pPr>
        <w:pStyle w:val="a1"/>
        <w:bidi w:val="0"/>
        <w:rPr>
          <w:rFonts w:hint="default"/>
          <w:lang w:val="en-US" w:eastAsia="zh-CN"/>
        </w:rPr>
      </w:pPr>
      <w:r>
        <w:rPr>
          <w:rFonts w:hint="default"/>
          <w:lang w:val="en-US" w:eastAsia="zh-CN"/>
        </w:rPr>
        <w:t>验收完成后，运维部将全套验收资料提交质量部归档，包括验收申请表、验收方案、验收记录、验收报告、客户确认文件以及整改记录等。质量部负责验收资料的归档管理，保存期限按第8章规定执行。</w:t>
      </w:r>
    </w:p>
    <w:p>
      <w:pPr>
        <w:pStyle w:val="1"/>
        <w:bidi w:val="0"/>
        <w:rPr>
          <w:rFonts w:hint="default"/>
          <w:lang w:val="en-US" w:eastAsia="zh-CN"/>
        </w:rPr>
      </w:pPr>
      <w:bookmarkStart w:id="19" w:name="_Toc430"/>
      <w:r>
        <w:rPr>
          <w:rFonts w:hint="default"/>
          <w:lang w:val="en-US" w:eastAsia="zh-CN"/>
        </w:rPr>
        <w:t>验收不合格处理</w:t>
      </w:r>
      <w:bookmarkEnd w:id="19"/>
    </w:p>
    <w:p>
      <w:pPr>
        <w:pStyle w:val="2"/>
        <w:bidi w:val="0"/>
        <w:rPr>
          <w:rFonts w:hint="default"/>
          <w:lang w:val="en-US" w:eastAsia="zh-CN"/>
        </w:rPr>
      </w:pPr>
      <w:bookmarkStart w:id="20" w:name="_Toc22088"/>
      <w:r>
        <w:rPr>
          <w:rFonts w:hint="default"/>
          <w:lang w:val="en-US" w:eastAsia="zh-CN"/>
        </w:rPr>
        <w:t>整改要求</w:t>
      </w:r>
      <w:bookmarkEnd w:id="20"/>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验收不合格分为三个等级：严重不合格指核心功能缺失、SLA严重不达标或客户明确不满意，需立即整改，10个工作日内重新验收；</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一般不合格指次要功能问题、文档不完整或KPI轻微不达标，需纳入整改计划，15个工作日内完成整改；</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建议项指优化建议或效率提升建议，需纳入持续改进计划，在下个周期落实。</w:t>
      </w:r>
    </w:p>
    <w:p>
      <w:pPr>
        <w:pStyle w:val="2"/>
        <w:bidi w:val="0"/>
        <w:rPr>
          <w:rFonts w:hint="default"/>
          <w:lang w:val="en-US" w:eastAsia="zh-CN"/>
        </w:rPr>
      </w:pPr>
      <w:bookmarkStart w:id="21" w:name="_Toc8263"/>
      <w:r>
        <w:rPr>
          <w:rFonts w:hint="default"/>
          <w:lang w:val="en-US" w:eastAsia="zh-CN"/>
        </w:rPr>
        <w:t>整改流程</w:t>
      </w:r>
      <w:bookmarkEnd w:id="21"/>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整改流程包括：运维部组织分析不合格原因；制定《整改计划》，明确措施、责任人、完成时限；实施整改措施；整改完成后提交《整改报告》；质量部组织复核验证；验证通过后重新提交验收。</w:t>
      </w:r>
    </w:p>
    <w:p>
      <w:pPr>
        <w:pStyle w:val="2"/>
        <w:bidi w:val="0"/>
        <w:rPr>
          <w:rFonts w:hint="default"/>
          <w:lang w:val="en-US" w:eastAsia="zh-CN"/>
        </w:rPr>
      </w:pPr>
      <w:bookmarkStart w:id="22" w:name="_Toc15575"/>
      <w:r>
        <w:rPr>
          <w:rFonts w:hint="default"/>
          <w:lang w:val="en-US" w:eastAsia="zh-CN"/>
        </w:rPr>
        <w:t>验收争议处理</w:t>
      </w:r>
      <w:bookmarkEnd w:id="22"/>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验收过程中出现争议时，首先由验收小组内部协商解决；协商不成则提交质量部协调；重大争议提交管理层决策；涉及合同条款的按合同约定处理。</w:t>
      </w:r>
    </w:p>
    <w:p>
      <w:pPr>
        <w:pStyle w:val="1"/>
        <w:bidi w:val="0"/>
        <w:rPr>
          <w:rFonts w:hint="default"/>
          <w:lang w:val="en-US" w:eastAsia="zh-CN"/>
        </w:rPr>
      </w:pPr>
      <w:bookmarkStart w:id="23" w:name="_Toc16815"/>
      <w:r>
        <w:rPr>
          <w:rFonts w:hint="default"/>
          <w:lang w:val="en-US" w:eastAsia="zh-CN"/>
        </w:rPr>
        <w:t>输出的文件和记录</w:t>
      </w:r>
      <w:bookmarkEnd w:id="23"/>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验收管理相关文件和记录包括：</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《验收申请表》由运维部负责，保存期限3年；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《验收方案》由验收小组负责，保存期限3年；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《验收记录》由验收小组负责，保存期限3年；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《验收报告》由验收小组负责，保存期限5年；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《整改计划》由运维部负责，保存期限3年；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《整改报告》由运维部负责，保存期限3年；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《客户确认文件》由运维部负责，保存期限5年；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《自检报告》由运维部负责，保存期限3年；</w:t>
      </w:r>
    </w:p>
    <w:p>
      <w:pPr>
        <w:pStyle w:val="a1"/>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《验收资料归档清单》由质量部负责，保存期限5年。</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8203</Words>
  <Characters>8426</Characters>
  <Application>Microsoft Office Word</Application>
  <DocSecurity>0</DocSecurity>
  <Lines>0</Lines>
  <Paragraphs>0</Paragraphs>
  <ScaleCrop>false</ScaleCrop>
  <Company/>
  <LinksUpToDate>false</LinksUpToDate>
  <CharactersWithSpaces>8583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2026-03-14T19:42:39Z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