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_Toc11734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_Toc11734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_Toc6325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_Toc23924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综合管理部</w:t>
          </w:r>
          <w:r>
            <w:tab/>
          </w:r>
          <w:r>
            <w:fldChar w:fldCharType="begin"/>
          </w:r>
          <w:r>
            <w:instrText xml:space="preserve"> PAGEREF _Toc27792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_Toc7902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技术中心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运维部</w:t>
          </w:r>
          <w:r>
            <w:tab/>
          </w:r>
          <w:r>
            <w:fldChar w:fldCharType="begin"/>
          </w:r>
          <w:r>
            <w:instrText xml:space="preserve"> PAGEREF _Toc24482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各部门负责人</w:t>
          </w:r>
          <w:r>
            <w:tab/>
          </w:r>
          <w:r>
            <w:fldChar w:fldCharType="begin"/>
          </w:r>
          <w:r>
            <w:instrText xml:space="preserve"> PAGEREF _Toc4617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管理层</w:t>
          </w:r>
          <w:r>
            <w:tab/>
          </w:r>
          <w:r>
            <w:fldChar w:fldCharType="begin"/>
          </w:r>
          <w:r>
            <w:instrText xml:space="preserve"> PAGEREF _Toc14254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培训流程</w:t>
          </w:r>
          <w:r>
            <w:tab/>
          </w:r>
          <w:r>
            <w:fldChar w:fldCharType="begin"/>
          </w:r>
          <w:r>
            <w:instrText xml:space="preserve"> PAGEREF _Toc13351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培训需求调查</w:t>
          </w:r>
          <w:r>
            <w:tab/>
          </w:r>
          <w:r>
            <w:fldChar w:fldCharType="begin"/>
          </w:r>
          <w:r>
            <w:instrText xml:space="preserve"> PAGEREF _Toc19125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编制培训计划</w:t>
          </w:r>
          <w:r>
            <w:tab/>
          </w:r>
          <w:r>
            <w:fldChar w:fldCharType="begin"/>
          </w:r>
          <w:r>
            <w:instrText xml:space="preserve"> PAGEREF _Toc9867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培训计划的实施</w:t>
          </w:r>
          <w:r>
            <w:tab/>
          </w:r>
          <w:r>
            <w:fldChar w:fldCharType="begin"/>
          </w:r>
          <w:r>
            <w:instrText xml:space="preserve"> PAGEREF _Toc10805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培训效果评估</w:t>
          </w:r>
          <w:r>
            <w:tab/>
          </w:r>
          <w:r>
            <w:fldChar w:fldCharType="begin"/>
          </w:r>
          <w:r>
            <w:instrText xml:space="preserve"> PAGEREF _Toc14501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培训种类</w:t>
          </w:r>
          <w:r>
            <w:tab/>
          </w:r>
          <w:r>
            <w:fldChar w:fldCharType="begin"/>
          </w:r>
          <w:r>
            <w:instrText xml:space="preserve"> PAGEREF _Toc25658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入职培训</w:t>
          </w:r>
          <w:r>
            <w:tab/>
          </w:r>
          <w:r>
            <w:fldChar w:fldCharType="begin"/>
          </w:r>
          <w:r>
            <w:instrText xml:space="preserve"> PAGEREF _Toc13122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岗位技能培训</w:t>
          </w:r>
          <w:r>
            <w:tab/>
          </w:r>
          <w:r>
            <w:fldChar w:fldCharType="begin"/>
          </w:r>
          <w:r>
            <w:instrText xml:space="preserve"> PAGEREF _Toc3459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外部培训</w:t>
          </w:r>
          <w:r>
            <w:tab/>
          </w:r>
          <w:r>
            <w:fldChar w:fldCharType="begin"/>
          </w:r>
          <w:r>
            <w:instrText xml:space="preserve"> PAGEREF _Toc12963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内部讲师管理</w:t>
          </w:r>
          <w:r>
            <w:tab/>
          </w:r>
          <w:r>
            <w:fldChar w:fldCharType="begin"/>
          </w:r>
          <w:r>
            <w:instrText xml:space="preserve"> PAGEREF _Toc18892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培训纪律</w:t>
          </w:r>
          <w:r>
            <w:tab/>
          </w:r>
          <w:r>
            <w:fldChar w:fldCharType="begin"/>
          </w:r>
          <w:r>
            <w:instrText xml:space="preserve"> PAGEREF _Toc18985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_Toc11063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_Toc1680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_Toc12695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_Toc12695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_Toc21360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11734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天津图云智能科技有限公司（以下简称“公司”）打造优秀的员工团队，增强核心竞争力，通过合理有效的培训体系，提高员工素质与工作能力，改善工作方法，提高工作效率，确保运维服务质量持续提升。为确保公司培训工作规范高效地展开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6325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本制度适用于公司所有员工的培训管理，覆盖管理层、技术岗和操作岗全体员工。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3924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7792"/>
      <w:r>
        <w:rPr>
          <w:rFonts w:hint="default"/>
          <w:lang w:val="en-US" w:eastAsia="zh-CN"/>
        </w:rPr>
        <w:t>综合管理部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负责公司整体培训工作的统筹管理；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负责组织年度培训需求调查，编制年度培训计划；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负责组织实施公司级培训（入职培训、通用技能培训等）；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负责培训记录的归档和培训档案管理；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负责培训效果的评估和跟踪；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负责培训KPI的统计和分析。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7902"/>
      <w:r>
        <w:rPr>
          <w:rFonts w:hint="default"/>
          <w:lang w:val="en-US" w:eastAsia="zh-CN"/>
        </w:rPr>
        <w:t>质量部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配合综合管理部进行质量管理相关的培训需求收集；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负责组织质量管理体系、内审员等专业培训；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参与培训效果的评估，从质量角度提出改进建议；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配合新员工入职培训中的质量管理制度培训。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6898"/>
      <w:r>
        <w:rPr>
          <w:rFonts w:hint="default"/>
          <w:lang w:val="en-US" w:eastAsia="zh-CN"/>
        </w:rPr>
        <w:t>技术中心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配合综合管理部进行技术类培训的需求收集；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负责组织技术类专项培训（新技术、运维工具、知识库等）；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负责内部技术讲师的推荐和培养；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参与技术类培训课程的设计和教材编写。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4482"/>
      <w:r>
        <w:rPr>
          <w:rFonts w:hint="default"/>
          <w:lang w:val="en-US" w:eastAsia="zh-CN"/>
        </w:rPr>
        <w:t>运维部</w:t>
      </w:r>
      <w:bookmarkEnd w:id="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配合综合管理部进行运维技能类培训的需求收集；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负责组织运维专项培训（硬件运维、软件运维、服务台规范等）；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负责运维现场工程师的技能培训和考核；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参与运维类培训课程的设计和案例分享。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4617"/>
      <w:r>
        <w:rPr>
          <w:rFonts w:hint="default"/>
          <w:lang w:val="en-US" w:eastAsia="zh-CN"/>
        </w:rPr>
        <w:t>各部门负责人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负责本部门员工培训需求的收集和汇总；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负责安排本部门员工按时参加培训；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负责对本部门员工培训后的效果进行跟踪和反馈；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负责部门级内部培训的组织和实施。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4254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总经理负责审批年度培训计划和重大培训预算；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副总经理（分管应急管理）参与应急类培训的决策；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为培训工作提供必要的资源支持。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3351"/>
      <w:r>
        <w:rPr>
          <w:rFonts w:hint="default"/>
          <w:lang w:val="en-US" w:eastAsia="zh-CN"/>
        </w:rPr>
        <w:t>培训流程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9125"/>
      <w:r>
        <w:rPr>
          <w:rFonts w:hint="default"/>
          <w:lang w:val="en-US" w:eastAsia="zh-CN"/>
        </w:rPr>
        <w:t>培训需求调查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综合管理部应在每年11月向公司所有在职人员发放《培训需求调查表》，收集下一年度培训需求。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员工填写《培训需求调查表》后提交至综合管理部人事专员处，由人事专员对提交的调查表进行汇总，结合公司战略发展需要、岗位能力要求、绩效考核结果等因素，形成《年度培训需求汇总表》。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培训需求来源包括：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员工个人发展需求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岗位技能要求（依据《岗位职责说明书》）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新业务、新技术发展需要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质量检查、内审中发现的能力短板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客户满意度调查反馈的改进点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公司战略发展需要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9867"/>
      <w:r>
        <w:rPr>
          <w:rFonts w:hint="default"/>
          <w:lang w:val="en-US" w:eastAsia="zh-CN"/>
        </w:rPr>
        <w:t>编制培训计划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综合管理部根据《年度培训需求汇总表》，结合本年度培训经费预算，编制《员工年度培训计划》。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《员工年度培训计划》应包括以下内容：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培训目标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培训课程名称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预计培训时间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培训讲师（内训/外聘）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参训对象和人数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培训方式（内训/外训/线上等）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培训预算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《员工年度培训计划》经综合管理部经理审核后，报总经理批准后实施。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0805"/>
      <w:r>
        <w:rPr>
          <w:rFonts w:hint="default"/>
          <w:lang w:val="en-US" w:eastAsia="zh-CN"/>
        </w:rPr>
        <w:t>培训计划的实施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培训计划通过后，由综合管理部根据实际情况对培训课程安排进行调整，由培训组织者按计划组织培训。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培训实施流程：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培训通知：提前3-5个工作日发布培训通知，明确时间、地点、内容、参训人员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场地准备：提前准备培训场地、设备、资料等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签到管理：培训开始时组织参训人员签到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过程记录：保留培训照片、视频等过程资料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资料归档：培训课件、签到表、评估表等资料归档保存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综合管理部定期对培训计划执行情况进行评估，及时发现问题、解决问题。因特殊情况需要调整培训计划时，由综合管理部协调安排，并报部门经理备案。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4501"/>
      <w:r>
        <w:rPr>
          <w:rFonts w:hint="default"/>
          <w:lang w:val="en-US" w:eastAsia="zh-CN"/>
        </w:rPr>
        <w:t>培训效果评估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综合管理部负责对培训效果进行评估，评估方式包括：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培训结束后，参训人员填写《培训效果评估表》，对培训内容、讲师、组织等方面进行评价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跟踪调查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培训结束后两周内，综合管理部通过谈话、问卷等方式进行跟踪调查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了解培训目标达成情况、参训人员行为改进、技能提高程度、新知识接受领会情况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填写《培训效果跟踪记录》，作为培训工作考核和改进的依据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证书/资格评估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以取得相关证书、证明作为培训结果的，以是否取得该文件作为培训效果评估结论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绩效关联评估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将培训效果与员工绩效考核相关联，观察培训后工作绩效的变化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综合管理部应妥善保管培训计划、签到表、培训反馈记录、证书证明及培训课件等原始资料，培训记录加入员工个人档案以备参考。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25658"/>
      <w:r>
        <w:rPr>
          <w:rFonts w:hint="default"/>
          <w:lang w:val="en-US" w:eastAsia="zh-CN"/>
        </w:rPr>
        <w:t>培训种类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公司培训种类包括：入职培训、内部培训、外部培训等。培训的内容主要包含管理能力、专业技术、质量意识及综合知识相关内容。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3122"/>
      <w:r>
        <w:rPr>
          <w:rFonts w:hint="default"/>
          <w:lang w:val="en-US" w:eastAsia="zh-CN"/>
        </w:rPr>
        <w:t>入职培训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入职培训目的在于使新员工了解公司的基本情况与发展历程，熟悉公司组织结构，理解企业文化，学习公司规章制度与行为规范，为上岗工作奠定初步基础。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适用对象：所有新入职员工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公司简介与发展历程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组织架构与部门职责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企业文化与价值观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规章制度与员工手册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质量方针与质量管理制度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信息安全与保密要求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运维服务管理体系概述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岗位职责基本介绍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组织部门：综合管理部牵头，质量部、运维部配合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培训时间：新员工入职后1周内完成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3459"/>
      <w:r>
        <w:rPr>
          <w:rFonts w:hint="default"/>
          <w:lang w:val="en-US" w:eastAsia="zh-CN"/>
        </w:rPr>
        <w:t>岗位技能培训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岗位技能培训目的在于通过不断学习新观念、新知识、新方法，逐步提高员工的岗位技能和工作能力。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适用对象：各岗位在职员工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管理类培训：团队管理、项目管理、沟通协调、领导力等（对象：管理层）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技术类培训：硬件运维技术、软件运维技术、运维工具使用、新技术应用等（对象：技术岗）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操作类培训：服务台规范、备件库管理、采购流程、质量检查等（对象：操作岗）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质量类培训：质量管理体系、内审员培训、满意度调查方法等（对象：全员）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应急类培训：应急预案、应急演练、故障处理等（对象：应急相关人员）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组织部门：综合管理部统筹，各部门分别组织实施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培训方式：内部讲师授课、案例分享、实操演练、线上学习等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2963"/>
      <w:r>
        <w:rPr>
          <w:rFonts w:hint="default"/>
          <w:lang w:val="en-US" w:eastAsia="zh-CN"/>
        </w:rPr>
        <w:t>外部培训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为开拓视野，扩大员工的知识面，公司鼓励有针对性的外出学习培训。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适用对象：表现优秀、有发展潜力的员工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行业技术交流会、研讨会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专业技能认证培训（如ITSS、PMP、ITIL等）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管理能力提升培训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新技术、新方法专项培训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管理要求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按公司统一安排外出受训的，由综合管理部统一组织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如有特殊需要，员工需事先填写《培训申请表》，经部门负责人审核、综合管理部审批、总经理批准后方可实施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外出参加培训要遵守培训纪律，注意个人言谈举止，树立企业良好形象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外出参加培训时领取的书本、光盘等培训资料属于公司财产，培训结束后需到综合管理部办理资料交接手续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由公司负担费用的外部培训，培训结束后参加人员需按规定签订《培训服务协议》，约定服务期限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8892"/>
      <w:r>
        <w:rPr>
          <w:rFonts w:hint="default"/>
          <w:lang w:val="en-US" w:eastAsia="zh-CN"/>
        </w:rPr>
        <w:t>内部讲师管理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公司鼓励各部门负责人、资深工程师担任内部讲师，分享专业知识和实践经验。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内部讲师职责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参与培训课程的设计和教材编写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按时完成培训授课任务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参与培训效果的评估和改进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内部讲师激励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给予适当的讲师津贴或奖励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优先参加外部培训和学习机会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纳入晋升和评优的参考依据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8985"/>
      <w:r>
        <w:rPr>
          <w:rFonts w:hint="default"/>
          <w:lang w:val="en-US" w:eastAsia="zh-CN"/>
        </w:rPr>
        <w:t>培训纪律</w:t>
      </w:r>
      <w:bookmarkEnd w:id="20"/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准时到场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参训人员在培训开始前15分钟到场签到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培训组织者负责监督参训人签到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培训讲师应提前5分钟到场准备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遵守时间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参训人员要遵守培训时间规定，不迟到、不早退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到达培训场所后要自觉签到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因故不能参加培训需提前向部门负责人和培训组织者请假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维持纪律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培训开始后，组织者或部门负责人要在场负责，维持纪律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协助讲师顺利完成培训任务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准备工具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参训时准备好学习工具，一般要带笔、笔记本等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需要电脑实操的培训，提前准备好电脑设备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参训时将手机关闭或调至静音状态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参训人员不能因为自身原因干扰培训课的正常进行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认真听讲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要认真听讲，积极参与讨论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不得交头接耳，不得从事与培训无关的事情</w:t>
      </w:r>
    </w:p>
    <w:p>
      <w:pPr>
        <w:pStyle w:val="a1"/>
        <w:numPr>
          <w:ilvl w:val="0"/>
          <w:numId w:val="8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无故缺席培训的，按旷工处理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违反培训纪律的，给予批评教育，情节严重的纳入绩效考核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11063"/>
      <w:r>
        <w:rPr>
          <w:rFonts w:hint="eastAsia"/>
          <w:lang w:val="en-US" w:eastAsia="zh-CN"/>
        </w:rPr>
        <w:t>KPI指标</w:t>
      </w:r>
      <w:bookmarkEnd w:id="2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12695"/>
      <w:r>
        <w:rPr>
          <w:rFonts w:hint="eastAsia"/>
          <w:lang w:val="en-US" w:eastAsia="zh-CN"/>
        </w:rPr>
        <w:t xml:space="preserve"> KPI指标表</w:t>
      </w:r>
      <w:bookmarkEnd w:id="22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人员培训</w:t>
            </w:r>
            <w:bookmarkStart w:id="23" w:name="_GoBack"/>
            <w:bookmarkEnd w:id="23"/>
            <w:r>
              <w:rPr>
                <w:rFonts w:hint="eastAsia"/>
                <w:vertAlign w:val="baseline"/>
                <w:lang w:val="en-US" w:eastAsia="zh-CN"/>
              </w:rPr>
              <w:t>计划达成率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实际培训完成课程数/计划培训课程数*100%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1680"/>
      <w:r>
        <w:rPr>
          <w:rFonts w:hint="eastAsia"/>
          <w:lang w:val="en-US" w:eastAsia="zh-CN"/>
        </w:rPr>
        <w:t>输出的文件和记录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21360"/>
      <w:r>
        <w:rPr>
          <w:rFonts w:hint="eastAsia"/>
          <w:lang w:val="en-US" w:eastAsia="zh-CN"/>
        </w:rPr>
        <w:t xml:space="preserve"> 输出文件记录表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《培训需求调查表》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《年度培训需求汇总表》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《员工年度培训计划》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《培训效果跟踪记录》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《培训服务协议》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《员工培训档案》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《培训课件资料》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8E6574"/>
    <w:multiLevelType w:val="singleLevel"/>
    <w:tmpl w:val="908E65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37DB64"/>
    <w:multiLevelType w:val="singleLevel"/>
    <w:tmpl w:val="BC37DB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1982F5F"/>
    <w:multiLevelType w:val="singleLevel"/>
    <w:tmpl w:val="51982F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FF04E0"/>
    <w:multiLevelType w:val="singleLevel"/>
    <w:tmpl w:val="5AFF04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DE35D75"/>
    <w:multiLevelType w:val="singleLevel"/>
    <w:tmpl w:val="5DE35D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60FA8A4"/>
    <w:multiLevelType w:val="singleLevel"/>
    <w:tmpl w:val="760FA8A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E17EA97"/>
    <w:multiLevelType w:val="singleLevel"/>
    <w:tmpl w:val="7E17EA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3434</Words>
  <Characters>3579</Characters>
  <Application>Microsoft Office Word</Application>
  <DocSecurity>0</DocSecurity>
  <Lines>0</Lines>
  <Paragraphs>0</Paragraphs>
  <ScaleCrop>false</ScaleCrop>
  <Company/>
  <LinksUpToDate>false</LinksUpToDate>
  <CharactersWithSpaces>3679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2026-03-18T02:06:27Z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