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运维服务级别管理制度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TJTY-ITSS-0602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刘禹</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_Toc537 </w:instrText>
          </w:r>
          <w:r>
            <w:fldChar w:fldCharType="separate"/>
          </w:r>
          <w:r>
            <w:rPr>
              <w:rFonts w:hint="default"/>
              <w:lang w:val="en-US" w:eastAsia="zh-CN"/>
            </w:rPr>
            <w:t>1. 目的</w:t>
          </w:r>
          <w:r>
            <w:tab/>
          </w:r>
          <w:r>
            <w:fldChar w:fldCharType="begin"/>
          </w:r>
          <w:r>
            <w:instrText xml:space="preserve"> PAGEREF _Toc537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_Toc21417 </w:instrText>
          </w:r>
          <w:r>
            <w:fldChar w:fldCharType="separate"/>
          </w:r>
          <w:r>
            <w:rPr>
              <w:rFonts w:hint="default"/>
              <w:lang w:val="en-US" w:eastAsia="zh-CN"/>
            </w:rPr>
            <w:t>2. 过程定义</w:t>
          </w:r>
          <w:r>
            <w:tab/>
          </w:r>
          <w:r>
            <w:fldChar w:fldCharType="begin"/>
          </w:r>
          <w:r>
            <w:instrText xml:space="preserve"> PAGEREF _Toc21417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_Toc16704 </w:instrText>
          </w:r>
          <w:r>
            <w:fldChar w:fldCharType="separate"/>
          </w:r>
          <w:r>
            <w:rPr>
              <w:rFonts w:hint="default"/>
              <w:lang w:val="en-US" w:eastAsia="zh-CN"/>
            </w:rPr>
            <w:t>2.1. 范围</w:t>
          </w:r>
          <w:r>
            <w:tab/>
          </w:r>
          <w:r>
            <w:fldChar w:fldCharType="begin"/>
          </w:r>
          <w:r>
            <w:instrText xml:space="preserve"> PAGEREF _Toc16704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_Toc20376 </w:instrText>
          </w:r>
          <w:r>
            <w:fldChar w:fldCharType="separate"/>
          </w:r>
          <w:r>
            <w:rPr>
              <w:rFonts w:hint="default"/>
              <w:lang w:val="en-US" w:eastAsia="zh-CN"/>
            </w:rPr>
            <w:t>2.2. 过程负责人</w:t>
          </w:r>
          <w:r>
            <w:tab/>
          </w:r>
          <w:r>
            <w:fldChar w:fldCharType="begin"/>
          </w:r>
          <w:r>
            <w:instrText xml:space="preserve"> PAGEREF _Toc20376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_Toc25964 </w:instrText>
          </w:r>
          <w:r>
            <w:fldChar w:fldCharType="separate"/>
          </w:r>
          <w:r>
            <w:rPr>
              <w:rFonts w:hint="default"/>
              <w:lang w:val="en-US" w:eastAsia="zh-CN"/>
            </w:rPr>
            <w:t>2.3. 主要输入</w:t>
          </w:r>
          <w:r>
            <w:tab/>
          </w:r>
          <w:r>
            <w:fldChar w:fldCharType="begin"/>
          </w:r>
          <w:r>
            <w:instrText xml:space="preserve"> PAGEREF _Toc25964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_Toc20168 </w:instrText>
          </w:r>
          <w:r>
            <w:fldChar w:fldCharType="separate"/>
          </w:r>
          <w:r>
            <w:rPr>
              <w:rFonts w:hint="default"/>
              <w:lang w:val="en-US" w:eastAsia="zh-CN"/>
            </w:rPr>
            <w:t>2.4. 主要输出</w:t>
          </w:r>
          <w:r>
            <w:tab/>
          </w:r>
          <w:r>
            <w:fldChar w:fldCharType="begin"/>
          </w:r>
          <w:r>
            <w:instrText xml:space="preserve"> PAGEREF _Toc20168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_Toc2518 </w:instrText>
          </w:r>
          <w:r>
            <w:fldChar w:fldCharType="separate"/>
          </w:r>
          <w:r>
            <w:rPr>
              <w:rFonts w:hint="default"/>
              <w:lang w:val="en-US" w:eastAsia="zh-CN"/>
            </w:rPr>
            <w:t>2.5. 职责权限</w:t>
          </w:r>
          <w:r>
            <w:tab/>
          </w:r>
          <w:r>
            <w:fldChar w:fldCharType="begin"/>
          </w:r>
          <w:r>
            <w:instrText xml:space="preserve"> PAGEREF _Toc2518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_Toc19513 </w:instrText>
          </w:r>
          <w:r>
            <w:fldChar w:fldCharType="separate"/>
          </w:r>
          <w:r>
            <w:rPr>
              <w:rFonts w:hint="default"/>
              <w:lang w:val="en-US" w:eastAsia="zh-CN"/>
            </w:rPr>
            <w:t>3. 术语</w:t>
          </w:r>
          <w:r>
            <w:tab/>
          </w:r>
          <w:r>
            <w:fldChar w:fldCharType="begin"/>
          </w:r>
          <w:r>
            <w:instrText xml:space="preserve"> PAGEREF _Toc19513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_Toc24477 </w:instrText>
          </w:r>
          <w:r>
            <w:fldChar w:fldCharType="separate"/>
          </w:r>
          <w:r>
            <w:rPr>
              <w:rFonts w:hint="default"/>
              <w:lang w:val="en-US" w:eastAsia="zh-CN"/>
            </w:rPr>
            <w:t>4. 流程</w:t>
          </w:r>
          <w:r>
            <w:tab/>
          </w:r>
          <w:r>
            <w:fldChar w:fldCharType="begin"/>
          </w:r>
          <w:r>
            <w:instrText xml:space="preserve"> PAGEREF _Toc24477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_Toc13881 </w:instrText>
          </w:r>
          <w:r>
            <w:fldChar w:fldCharType="separate"/>
          </w:r>
          <w:r>
            <w:rPr>
              <w:rFonts w:hint="default"/>
              <w:lang w:val="en-US" w:eastAsia="zh-CN"/>
            </w:rPr>
            <w:t>5. 过程描述</w:t>
          </w:r>
          <w:r>
            <w:tab/>
          </w:r>
          <w:r>
            <w:fldChar w:fldCharType="begin"/>
          </w:r>
          <w:r>
            <w:instrText xml:space="preserve"> PAGEREF _Toc13881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_Toc24252 </w:instrText>
          </w:r>
          <w:r>
            <w:fldChar w:fldCharType="separate"/>
          </w:r>
          <w:r>
            <w:rPr>
              <w:rFonts w:hint="default"/>
              <w:lang w:val="en-US" w:eastAsia="zh-CN"/>
            </w:rPr>
            <w:t>5.1. 识别分析、定义服务需求</w:t>
          </w:r>
          <w:r>
            <w:tab/>
          </w:r>
          <w:r>
            <w:fldChar w:fldCharType="begin"/>
          </w:r>
          <w:r>
            <w:instrText xml:space="preserve"> PAGEREF _Toc24252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_Toc1050 </w:instrText>
          </w:r>
          <w:r>
            <w:fldChar w:fldCharType="separate"/>
          </w:r>
          <w:r>
            <w:rPr>
              <w:rFonts w:hint="default"/>
              <w:lang w:val="en-US" w:eastAsia="zh-CN"/>
            </w:rPr>
            <w:t>5.2. 签订服务级别协议和支持合同</w:t>
          </w:r>
          <w:r>
            <w:tab/>
          </w:r>
          <w:r>
            <w:fldChar w:fldCharType="begin"/>
          </w:r>
          <w:r>
            <w:instrText xml:space="preserve"> PAGEREF _Toc1050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_Toc2938 </w:instrText>
          </w:r>
          <w:r>
            <w:fldChar w:fldCharType="separate"/>
          </w:r>
          <w:r>
            <w:rPr>
              <w:rFonts w:hint="default"/>
              <w:lang w:val="en-US" w:eastAsia="zh-CN"/>
            </w:rPr>
            <w:t>5.2.1. 制定和修订SLA</w:t>
          </w:r>
          <w:r>
            <w:tab/>
          </w:r>
          <w:r>
            <w:fldChar w:fldCharType="begin"/>
          </w:r>
          <w:r>
            <w:instrText xml:space="preserve"> PAGEREF _Toc2938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_Toc21084 </w:instrText>
          </w:r>
          <w:r>
            <w:fldChar w:fldCharType="separate"/>
          </w:r>
          <w:r>
            <w:rPr>
              <w:rFonts w:hint="default"/>
              <w:lang w:val="en-US" w:eastAsia="zh-CN"/>
            </w:rPr>
            <w:t>5.2.2. 制定和修订UC</w:t>
          </w:r>
          <w:r>
            <w:tab/>
          </w:r>
          <w:r>
            <w:fldChar w:fldCharType="begin"/>
          </w:r>
          <w:r>
            <w:instrText xml:space="preserve"> PAGEREF _Toc21084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_Toc23651 </w:instrText>
          </w:r>
          <w:r>
            <w:fldChar w:fldCharType="separate"/>
          </w:r>
          <w:r>
            <w:rPr>
              <w:rFonts w:hint="default"/>
              <w:lang w:val="en-US" w:eastAsia="zh-CN"/>
            </w:rPr>
            <w:t>5.3. 采购管理</w:t>
          </w:r>
          <w:r>
            <w:tab/>
          </w:r>
          <w:r>
            <w:fldChar w:fldCharType="begin"/>
          </w:r>
          <w:r>
            <w:instrText xml:space="preserve"> PAGEREF _Toc23651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_Toc317 </w:instrText>
          </w:r>
          <w:r>
            <w:fldChar w:fldCharType="separate"/>
          </w:r>
          <w:r>
            <w:rPr>
              <w:rFonts w:hint="default"/>
              <w:lang w:val="en-US" w:eastAsia="zh-CN"/>
            </w:rPr>
            <w:t>5.4. 制定或完善服务目录</w:t>
          </w:r>
          <w:r>
            <w:tab/>
          </w:r>
          <w:r>
            <w:fldChar w:fldCharType="begin"/>
          </w:r>
          <w:r>
            <w:instrText xml:space="preserve"> PAGEREF _Toc317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_Toc27921 </w:instrText>
          </w:r>
          <w:r>
            <w:fldChar w:fldCharType="separate"/>
          </w:r>
          <w:r>
            <w:rPr>
              <w:rFonts w:hint="default"/>
              <w:lang w:val="en-US" w:eastAsia="zh-CN"/>
            </w:rPr>
            <w:t>5.5. 监控服务级别执行情况</w:t>
          </w:r>
          <w:r>
            <w:tab/>
          </w:r>
          <w:r>
            <w:fldChar w:fldCharType="begin"/>
          </w:r>
          <w:r>
            <w:instrText xml:space="preserve"> PAGEREF _Toc27921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_Toc28891 </w:instrText>
          </w:r>
          <w:r>
            <w:fldChar w:fldCharType="separate"/>
          </w:r>
          <w:r>
            <w:rPr>
              <w:rFonts w:hint="default"/>
              <w:lang w:val="en-US" w:eastAsia="zh-CN"/>
            </w:rPr>
            <w:t>5.6. 执行情况汇报和评审</w:t>
          </w:r>
          <w:r>
            <w:tab/>
          </w:r>
          <w:r>
            <w:fldChar w:fldCharType="begin"/>
          </w:r>
          <w:r>
            <w:instrText xml:space="preserve"> PAGEREF _Toc28891 \h </w:instrText>
          </w:r>
          <w:r>
            <w:fldChar w:fldCharType="separate"/>
          </w:r>
          <w:r>
            <w:t>10</w:t>
          </w:r>
          <w:r>
            <w:fldChar w:fldCharType="end"/>
          </w:r>
          <w:r>
            <w:fldChar w:fldCharType="end"/>
          </w:r>
        </w:p>
        <w:p>
          <w:pPr>
            <w:pStyle w:val="TOC3"/>
            <w:tabs>
              <w:tab w:val="right" w:leader="dot" w:pos="8306"/>
            </w:tabs>
          </w:pPr>
          <w:r>
            <w:fldChar w:fldCharType="begin"/>
          </w:r>
          <w:r>
            <w:instrText xml:space="preserve"> HYPERLINK \l _Toc19543 </w:instrText>
          </w:r>
          <w:r>
            <w:fldChar w:fldCharType="separate"/>
          </w:r>
          <w:r>
            <w:rPr>
              <w:rFonts w:hint="default"/>
              <w:lang w:val="en-US" w:eastAsia="zh-CN"/>
            </w:rPr>
            <w:t>5.6.1. 执行情况汇报</w:t>
          </w:r>
          <w:r>
            <w:tab/>
          </w:r>
          <w:r>
            <w:fldChar w:fldCharType="begin"/>
          </w:r>
          <w:r>
            <w:instrText xml:space="preserve"> PAGEREF _Toc19543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_Toc3911 </w:instrText>
          </w:r>
          <w:r>
            <w:fldChar w:fldCharType="separate"/>
          </w:r>
          <w:r>
            <w:rPr>
              <w:rFonts w:hint="default"/>
              <w:lang w:val="en-US" w:eastAsia="zh-CN"/>
            </w:rPr>
            <w:t>5.6.2. 管理评审</w:t>
          </w:r>
          <w:r>
            <w:tab/>
          </w:r>
          <w:r>
            <w:fldChar w:fldCharType="begin"/>
          </w:r>
          <w:r>
            <w:instrText xml:space="preserve"> PAGEREF _Toc3911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_Toc26750 </w:instrText>
          </w:r>
          <w:r>
            <w:fldChar w:fldCharType="separate"/>
          </w:r>
          <w:r>
            <w:rPr>
              <w:rFonts w:hint="default"/>
              <w:lang w:val="en-US" w:eastAsia="zh-CN"/>
            </w:rPr>
            <w:t>5.6.3. 管理评审内容</w:t>
          </w:r>
          <w:r>
            <w:tab/>
          </w:r>
          <w:r>
            <w:fldChar w:fldCharType="begin"/>
          </w:r>
          <w:r>
            <w:instrText xml:space="preserve"> PAGEREF _Toc26750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_Toc20531 </w:instrText>
          </w:r>
          <w:r>
            <w:fldChar w:fldCharType="separate"/>
          </w:r>
          <w:r>
            <w:rPr>
              <w:rFonts w:hint="default"/>
              <w:lang w:val="en-US" w:eastAsia="zh-CN"/>
            </w:rPr>
            <w:t>5.7. 持续改进</w:t>
          </w:r>
          <w:r>
            <w:tab/>
          </w:r>
          <w:r>
            <w:fldChar w:fldCharType="begin"/>
          </w:r>
          <w:r>
            <w:instrText xml:space="preserve"> PAGEREF _Toc20531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_Toc29369 </w:instrText>
          </w:r>
          <w:r>
            <w:fldChar w:fldCharType="separate"/>
          </w:r>
          <w:r>
            <w:rPr>
              <w:rFonts w:hint="default"/>
              <w:lang w:val="en-US" w:eastAsia="zh-CN"/>
            </w:rPr>
            <w:t>6. 过程质量控制</w:t>
          </w:r>
          <w:r>
            <w:tab/>
          </w:r>
          <w:r>
            <w:fldChar w:fldCharType="begin"/>
          </w:r>
          <w:r>
            <w:instrText xml:space="preserve"> PAGEREF _Toc29369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_Toc9001 </w:instrText>
          </w:r>
          <w:r>
            <w:fldChar w:fldCharType="separate"/>
          </w:r>
          <w:r>
            <w:rPr>
              <w:rFonts w:hint="default"/>
              <w:lang w:val="en-US" w:eastAsia="zh-CN"/>
            </w:rPr>
            <w:t>7. KPI指标</w:t>
          </w:r>
          <w:r>
            <w:tab/>
          </w:r>
          <w:r>
            <w:fldChar w:fldCharType="begin"/>
          </w:r>
          <w:r>
            <w:instrText xml:space="preserve"> PAGEREF _Toc9001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_Toc6913 </w:instrText>
          </w:r>
          <w:r>
            <w:fldChar w:fldCharType="separate"/>
          </w:r>
          <w:r>
            <w:rPr>
              <w:rFonts w:hint="default"/>
              <w:lang w:val="en-US" w:eastAsia="zh-CN"/>
            </w:rPr>
            <w:t>8. 相关文件</w:t>
          </w:r>
          <w:r>
            <w:tab/>
          </w:r>
          <w:r>
            <w:fldChar w:fldCharType="begin"/>
          </w:r>
          <w:r>
            <w:instrText xml:space="preserve"> PAGEREF _Toc6913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_Toc25712 </w:instrText>
          </w:r>
          <w:r>
            <w:fldChar w:fldCharType="separate"/>
          </w:r>
          <w:r>
            <w:rPr>
              <w:rFonts w:hint="default"/>
              <w:lang w:val="en-US" w:eastAsia="zh-CN"/>
            </w:rPr>
            <w:t>9. 相关记录</w:t>
          </w:r>
          <w:r>
            <w:tab/>
          </w:r>
          <w:r>
            <w:fldChar w:fldCharType="begin"/>
          </w:r>
          <w:r>
            <w:instrText xml:space="preserve"> PAGEREF _Toc25712 \h </w:instrText>
          </w:r>
          <w:r>
            <w:fldChar w:fldCharType="separate"/>
          </w:r>
          <w:r>
            <w:t>12</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_Toc23553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主要输入表</w:t>
      </w:r>
      <w:r>
        <w:tab/>
      </w:r>
      <w:r>
        <w:fldChar w:fldCharType="begin"/>
      </w:r>
      <w:r>
        <w:instrText xml:space="preserve"> PAGEREF _Toc23553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_Toc25855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default"/>
          <w:lang w:val="en-US" w:eastAsia="zh-CN"/>
        </w:rPr>
        <w:t xml:space="preserve"> 主要输出表</w:t>
      </w:r>
      <w:r>
        <w:tab/>
      </w:r>
      <w:r>
        <w:fldChar w:fldCharType="begin"/>
      </w:r>
      <w:r>
        <w:instrText xml:space="preserve"> PAGEREF _Toc25855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_Toc27611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职责权限表</w:t>
      </w:r>
      <w:r>
        <w:tab/>
      </w:r>
      <w:r>
        <w:fldChar w:fldCharType="begin"/>
      </w:r>
      <w:r>
        <w:instrText xml:space="preserve"> PAGEREF _Toc27611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_Toc19807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_Toc19807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_Toc12131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过程质量控制流程表</w:t>
      </w:r>
      <w:r>
        <w:tab/>
      </w:r>
      <w:r>
        <w:fldChar w:fldCharType="begin"/>
      </w:r>
      <w:r>
        <w:instrText xml:space="preserve"> PAGEREF _Toc12131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_Toc32612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_Toc32612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_Toc5841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_Toc5841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图目录</w:t>
      </w:r>
    </w:p>
    <w:p>
      <w:pPr>
        <w:pStyle w:val="TableofFigures"/>
        <w:tabs>
          <w:tab w:val="right" w:leader="dot" w:pos="8306"/>
        </w:tabs>
      </w:pPr>
      <w:r>
        <w:fldChar w:fldCharType="begin"/>
      </w:r>
      <w:r>
        <w:instrText>TOC \h \c "图"</w:instrText>
      </w:r>
      <w:r>
        <w:fldChar w:fldCharType="separate"/>
      </w:r>
      <w:r>
        <w:fldChar w:fldCharType="begin"/>
      </w:r>
      <w:r>
        <w:instrText xml:space="preserve"> HYPERLINK \l _Toc16875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default"/>
          <w:lang w:val="en-US" w:eastAsia="zh-CN"/>
        </w:rPr>
        <w:t xml:space="preserve"> 服务级别管理流程图</w:t>
      </w:r>
      <w:r>
        <w:tab/>
      </w:r>
      <w:r>
        <w:fldChar w:fldCharType="begin"/>
      </w:r>
      <w:r>
        <w:instrText xml:space="preserve"> PAGEREF _Toc16875 \h </w:instrText>
      </w:r>
      <w:r>
        <w:fldChar w:fldCharType="separate"/>
      </w:r>
      <w:r>
        <w:t>7</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537"/>
      <w:r>
        <w:rPr>
          <w:rFonts w:hint="default"/>
          <w:lang w:val="en-US" w:eastAsia="zh-CN"/>
        </w:rPr>
        <w:t>目的</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本程序旨在对天津图云智能科技有限公司（以下简称“公司”）的运维服务级别进行协商、监控和报告，确保实现双方协商确定的服务等级，且公司提供的运维服务得到持续的维护和改进。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有效的服务级别管理可以改进客户业务运作的绩效并因此而提高客户满意度。公司能够更加清楚被期望提供什么和可以实际提供什么，从而更好地计划、预算和管理所提供的服务。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本程序的具体目的如下：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整合提供服务所需的各种要素；</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生成清晰地描述服务项目中各种要素的文档；</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以客户能够理解并涉及的术语对所要提供的服务进行描述；</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整合战略和业务需求；</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以可控的方式改进服务提供。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说明：本程序中的“年度”指公司运维服务管理周期，即每年7月1日至次年6月30日。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1417"/>
      <w:r>
        <w:rPr>
          <w:rFonts w:hint="default"/>
          <w:lang w:val="en-US" w:eastAsia="zh-CN"/>
        </w:rPr>
        <w:t>过程定义</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6704"/>
      <w:r>
        <w:rPr>
          <w:rFonts w:hint="default"/>
          <w:lang w:val="en-US" w:eastAsia="zh-CN"/>
        </w:rPr>
        <w:t>范围</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本程序适用于运维服务所覆盖的所有部门，包括运维部、技术中心、质量部、综合管理部、采购部等。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本程序适用的服务活动主要包括在服务提供过程中发生的服务提供方与其他相关主体之间就服务质量所进行的协调活动，主要包括两个协议所调整和规范的各方主体的行为及活动：</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服务级别协议（SLA）</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支持合同（UC）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0376"/>
      <w:r>
        <w:rPr>
          <w:rFonts w:hint="default"/>
          <w:lang w:val="en-US" w:eastAsia="zh-CN"/>
        </w:rPr>
        <w:t>过程负责人</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服务级别管理负责人：运维部经理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5964"/>
      <w:r>
        <w:rPr>
          <w:rFonts w:hint="default"/>
          <w:lang w:val="en-US" w:eastAsia="zh-CN"/>
        </w:rPr>
        <w:t>主要输入</w:t>
      </w:r>
      <w:bookmarkEnd w:id="5"/>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23553"/>
      <w:r>
        <w:rPr>
          <w:rFonts w:hint="default"/>
          <w:lang w:val="en-US" w:eastAsia="zh-CN"/>
        </w:rPr>
        <w:t xml:space="preserve"> 主要输入表</w:t>
      </w:r>
      <w:bookmarkEnd w:id="6"/>
    </w:p>
    <w:tbl>
      <w:tblPr>
        <w:tblStyle w:val="TableNormal"/>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046"/>
        <w:gridCol w:w="4449"/>
      </w:tblGrid>
      <w:tr>
        <w:tblPrEx>
          <w:tblW w:w="8495" w:type="dxa"/>
          <w:tblInd w:w="0" w:type="dxa"/>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444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来源</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服务合同</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与客户签署的服务合同</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客户承诺的服务协议</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与客户约定的服务承诺</w:t>
            </w:r>
          </w:p>
        </w:tc>
      </w:tr>
      <w:tr>
        <w:tblPrEx>
          <w:tblW w:w="8495" w:type="dxa"/>
          <w:tblInd w:w="0" w:type="dxa"/>
          <w:shd w:val="clear" w:color="auto" w:fill="auto"/>
          <w:tblCellMar>
            <w:top w:w="15" w:type="dxa"/>
            <w:left w:w="15" w:type="dxa"/>
            <w:bottom w:w="15" w:type="dxa"/>
            <w:right w:w="15" w:type="dxa"/>
          </w:tblCellMar>
        </w:tblPrEx>
        <w:trPr>
          <w:trHeight w:val="0"/>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会议纪要</w:t>
            </w:r>
          </w:p>
        </w:tc>
        <w:tc>
          <w:tcPr>
            <w:tcW w:w="444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各部门例会达成的决议</w:t>
            </w:r>
          </w:p>
        </w:tc>
      </w:tr>
      <w:tr>
        <w:tblPrEx>
          <w:tblW w:w="8495" w:type="dxa"/>
          <w:tblInd w:w="0" w:type="dxa"/>
          <w:shd w:val="clear" w:color="auto" w:fill="auto"/>
          <w:tblCellMar>
            <w:top w:w="15" w:type="dxa"/>
            <w:left w:w="15" w:type="dxa"/>
            <w:bottom w:w="15" w:type="dxa"/>
            <w:right w:w="15" w:type="dxa"/>
          </w:tblCellMar>
        </w:tblPrEx>
        <w:trPr>
          <w:trHeight w:val="0"/>
        </w:trPr>
        <w:tc>
          <w:tcPr>
            <w:tcW w:w="40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管理评审结果</w:t>
            </w:r>
          </w:p>
        </w:tc>
        <w:tc>
          <w:tcPr>
            <w:tcW w:w="444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公司的管理评审程序</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0168"/>
      <w:r>
        <w:rPr>
          <w:rFonts w:hint="default"/>
          <w:lang w:val="en-US" w:eastAsia="zh-CN"/>
        </w:rPr>
        <w:t>主要输出</w:t>
      </w:r>
      <w:bookmarkEnd w:id="7"/>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8" w:name="_Toc25855"/>
      <w:r>
        <w:rPr>
          <w:rFonts w:hint="default"/>
          <w:lang w:val="en-US" w:eastAsia="zh-CN"/>
        </w:rPr>
        <w:t xml:space="preserve"> 主要输出表</w:t>
      </w:r>
      <w:bookmarkEnd w:id="8"/>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875"/>
        <w:gridCol w:w="5623"/>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875"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56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去向/用途</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服务规范（运维工作手册）</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作业指导书</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相关部门</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承诺给客户的服务承诺；如客户无特别要求，运维部经理需整理服务承诺作为服务目标</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公司级服务目录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项目级服务目录</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具体项目服务目录</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5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服务改进管理流程</w:t>
            </w:r>
          </w:p>
        </w:tc>
      </w:tr>
      <w:tr>
        <w:tblPrEx>
          <w:tblW w:w="8498" w:type="dxa"/>
          <w:jc w:val="center"/>
          <w:shd w:val="clear" w:color="auto" w:fill="auto"/>
          <w:tblCellMar>
            <w:top w:w="15" w:type="dxa"/>
            <w:left w:w="15" w:type="dxa"/>
            <w:bottom w:w="15" w:type="dxa"/>
            <w:right w:w="15" w:type="dxa"/>
          </w:tblCellMar>
        </w:tblPrEx>
        <w:trPr>
          <w:trHeight w:val="0"/>
          <w:jc w:val="center"/>
        </w:trPr>
        <w:tc>
          <w:tcPr>
            <w:tcW w:w="2875"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服务需求说明书</w:t>
            </w:r>
          </w:p>
        </w:tc>
        <w:tc>
          <w:tcPr>
            <w:tcW w:w="56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调查分析用户需求</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518"/>
      <w:r>
        <w:rPr>
          <w:rFonts w:hint="default"/>
          <w:lang w:val="en-US" w:eastAsia="zh-CN"/>
        </w:rPr>
        <w:t>职责权限</w:t>
      </w:r>
      <w:bookmarkEnd w:id="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0" w:name="_Toc27611"/>
      <w:r>
        <w:rPr>
          <w:rFonts w:hint="default"/>
          <w:lang w:val="en-US" w:eastAsia="zh-CN"/>
        </w:rPr>
        <w:t xml:space="preserve"> 职责权限表</w:t>
      </w:r>
      <w:bookmarkEnd w:id="10"/>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3393"/>
        <w:gridCol w:w="5105"/>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510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职责说明</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r>
              <w:rPr>
                <w:rFonts w:ascii="Segoe UI" w:eastAsia="Segoe UI" w:hAnsi="Segoe UI" w:cs="Segoe UI" w:hint="default"/>
                <w:i w:val="0"/>
                <w:iCs w:val="0"/>
                <w:caps w:val="0"/>
                <w:snapToGrid w:val="0"/>
                <w:color w:val="000000"/>
                <w:spacing w:val="0"/>
                <w:kern w:val="0"/>
                <w:sz w:val="18"/>
                <w:szCs w:val="18"/>
                <w:lang w:val="en-US" w:eastAsia="zh-CN"/>
              </w:rPr>
              <w:t>（运维部经理）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制定和更新服务目录；</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定义和维持有效的服务级别管理流程，包括：</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确定服务级别结构；</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提出外部供应商服务支持请求；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更新现有的服务改进方案；</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与有关方面协商谈判，参与合同评审，参与签订和维护SLA和UC；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 评审客户服务质量，必要时采取改进措施。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eastAsia"/>
                <w:b/>
                <w:bCs/>
                <w:i w:val="0"/>
                <w:iCs w:val="0"/>
                <w:caps w:val="0"/>
                <w:snapToGrid w:val="0"/>
                <w:color w:val="000000"/>
                <w:spacing w:val="0"/>
                <w:kern w:val="0"/>
                <w:sz w:val="18"/>
                <w:szCs w:val="18"/>
                <w:lang w:val="en-US" w:eastAsia="zh-CN"/>
              </w:rPr>
              <w:t>运维项目经理</w:t>
            </w:r>
            <w:r>
              <w:rPr>
                <w:rFonts w:ascii="Segoe UI" w:eastAsia="Segoe UI" w:hAnsi="Segoe UI" w:cs="Segoe UI" w:hint="default"/>
                <w:i w:val="0"/>
                <w:iCs w:val="0"/>
                <w:caps w:val="0"/>
                <w:snapToGrid w:val="0"/>
                <w:color w:val="000000"/>
                <w:spacing w:val="0"/>
                <w:kern w:val="0"/>
                <w:sz w:val="18"/>
                <w:szCs w:val="18"/>
                <w:lang w:val="en-US" w:eastAsia="zh-CN"/>
              </w:rPr>
              <w:t>（运维项目经理）</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执行SLA、UC的制定或修订工作。</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客户代表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提出服务建议和需求。</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技术中心</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参与草拟和签订UC；</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负责监督运维服务项目交付物质量管理；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为满足服务级别提供相应服务支持；</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定期提供服务报告。</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综合管理部</w:t>
            </w:r>
          </w:p>
        </w:tc>
        <w:tc>
          <w:tcPr>
            <w:tcW w:w="510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负责供应商管理；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负责供应商支持合同询价、采购等；</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SLA、UC合同等归档、保管；</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4. 负责业务合同的管理；</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5. 有关签订SLA、UC过程的组织、协调。</w:t>
            </w:r>
          </w:p>
        </w:tc>
      </w:tr>
      <w:tr>
        <w:tblPrEx>
          <w:tblW w:w="8498" w:type="dxa"/>
          <w:jc w:val="center"/>
          <w:shd w:val="clear" w:color="auto" w:fill="auto"/>
          <w:tblCellMar>
            <w:top w:w="15" w:type="dxa"/>
            <w:left w:w="15" w:type="dxa"/>
            <w:bottom w:w="15" w:type="dxa"/>
            <w:right w:w="15" w:type="dxa"/>
          </w:tblCellMar>
        </w:tblPrEx>
        <w:trPr>
          <w:trHeight w:val="0"/>
          <w:jc w:val="center"/>
        </w:trPr>
        <w:tc>
          <w:tcPr>
            <w:tcW w:w="3393"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质量部</w:t>
            </w:r>
          </w:p>
        </w:tc>
        <w:tc>
          <w:tcPr>
            <w:tcW w:w="510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负责监控服务级别过程的组织级质量管控。</w:t>
            </w:r>
          </w:p>
        </w:tc>
      </w:tr>
    </w:tbl>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9513"/>
      <w:r>
        <w:rPr>
          <w:rFonts w:hint="default"/>
          <w:lang w:val="en-US" w:eastAsia="zh-CN"/>
        </w:rPr>
        <w:t>术语</w:t>
      </w:r>
      <w:bookmarkEnd w:id="11"/>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19807"/>
      <w:r>
        <w:rPr>
          <w:rFonts w:hint="default"/>
          <w:lang w:val="en-US" w:eastAsia="zh-CN"/>
        </w:rPr>
        <w:t xml:space="preserve"> 术语定义表</w:t>
      </w:r>
      <w:bookmarkEnd w:id="12"/>
    </w:p>
    <w:tbl>
      <w:tblPr>
        <w:tblStyle w:val="TableNormal"/>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80"/>
        <w:gridCol w:w="7018"/>
      </w:tblGrid>
      <w:tr>
        <w:tblPrEx>
          <w:tblW w:w="8498"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术语</w:t>
            </w:r>
          </w:p>
        </w:tc>
        <w:tc>
          <w:tcPr>
            <w:tcW w:w="701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定义</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服务级别管理（SLM）</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对服务的提供进行协商、定义、评价、管理以及以可接受的成本改进服务质量的流程。旨在服务质量的供应与需求、客户关系和服务成本之间找到合适的平衡点。</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服务级别协议（SLA）</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规范流程、确保所有组件和承诺均配置妥当，以便为本服务项目提供优化的服务性能。</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支持合同（UC）</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与外部供应商就某项服务的供应所签订的合同；通常是正式的合同，而SLA通常不是法律文本。</w:t>
            </w:r>
          </w:p>
        </w:tc>
      </w:tr>
      <w:tr>
        <w:tblPrEx>
          <w:tblW w:w="8498"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服务级别管理负责人</w:t>
            </w:r>
          </w:p>
        </w:tc>
        <w:tc>
          <w:tcPr>
            <w:tcW w:w="701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对服务级别管理流程进行控制的人员，确保该流程有效地运作并提供预定的效益。</w:t>
            </w:r>
          </w:p>
        </w:tc>
      </w:tr>
      <w:tr>
        <w:tblPrEx>
          <w:tblW w:w="8498" w:type="dxa"/>
          <w:jc w:val="center"/>
          <w:shd w:val="clear" w:color="auto" w:fill="auto"/>
          <w:tblCellMar>
            <w:top w:w="15" w:type="dxa"/>
            <w:left w:w="15" w:type="dxa"/>
            <w:bottom w:w="15" w:type="dxa"/>
            <w:right w:w="15" w:type="dxa"/>
          </w:tblCellMar>
        </w:tblPrEx>
        <w:trPr>
          <w:trHeight w:val="0"/>
          <w:jc w:val="center"/>
        </w:trPr>
        <w:tc>
          <w:tcPr>
            <w:tcW w:w="1480"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服务目录</w:t>
            </w:r>
          </w:p>
        </w:tc>
        <w:tc>
          <w:tcPr>
            <w:tcW w:w="701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有关可用的服务资源及这些服务的服务级别的详细说明。</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4477"/>
      <w:r>
        <w:rPr>
          <w:rFonts w:hint="default"/>
          <w:lang w:val="en-US" w:eastAsia="zh-CN"/>
        </w:rPr>
        <w:t>流程</w:t>
      </w:r>
      <w:bookmarkEnd w:id="13"/>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16875"/>
      <w:r>
        <w:rPr>
          <w:rFonts w:hint="default"/>
          <w:lang w:val="en-US" w:eastAsia="zh-CN"/>
        </w:rPr>
        <w:t xml:space="preserve"> 服务级别管理流程图</w:t>
      </w:r>
      <w:bookmarkEnd w:id="1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60.9pt;width:348.9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3881"/>
      <w:r>
        <w:rPr>
          <w:rFonts w:hint="default"/>
          <w:lang w:val="en-US" w:eastAsia="zh-CN"/>
        </w:rPr>
        <w:t>过程描述</w:t>
      </w:r>
      <w:bookmarkEnd w:id="1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4252"/>
      <w:r>
        <w:rPr>
          <w:rFonts w:hint="default"/>
          <w:lang w:val="en-US" w:eastAsia="zh-CN"/>
        </w:rPr>
        <w:t>识别分析、定义服务需求</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对客户签署的服务合同、会议纪要、管理评审结果等内容进行分析、设计与监控，确定客户服务运行的需求，形成《服务需求说明书》。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主要工作包括：</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了解客户对业务服务的期望；</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服务必须处于可用状态的时间和天数；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服务持续性需求；</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提供运维服务所需的内部协作部门；</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在定义服务时需考虑的当前测试方法或质量标准的参考基准；</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内部对服务及其需要组件的详细描述；</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关于服务实施和提供方式的说明；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关于必要质量控制程序的说明；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定义服务级别的标准：可用性、响应时间、解决时间等。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原有服务规范为基础，随着服务的不断改进和提升，为满足客户服务需求，运维部应制定新业务的服务规范，并继续完善现有业务的服务规范。服务规范包括服务交付所实施的流程、运行监控及日常维护管理的技术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运维部根据识别、分析和定义的服务级别需求，增订/修订服务规范的内容，提交相关部门审核批准后发布。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050"/>
      <w:r>
        <w:rPr>
          <w:rFonts w:hint="default"/>
          <w:lang w:val="en-US" w:eastAsia="zh-CN"/>
        </w:rPr>
        <w:t>签订服务级别协议和支持合同</w:t>
      </w:r>
      <w:bookmarkEnd w:id="1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938"/>
      <w:r>
        <w:rPr>
          <w:rFonts w:hint="default"/>
          <w:lang w:val="en-US" w:eastAsia="zh-CN"/>
        </w:rPr>
        <w:t>制定和修订SLA</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运维项目经理</w:t>
      </w:r>
      <w:r>
        <w:rPr>
          <w:rFonts w:hint="default"/>
          <w:lang w:val="en-US" w:eastAsia="zh-CN"/>
        </w:rPr>
        <w:t>执行《服务级别协议》的制定或修订工作：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在确定《服务级别协议》结构时，先就整个公司的组织级运维服务目录进行定义，并制定总体性的以服务为基础的服务级别协议模型；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《服务级别协议》具有层次结构，表现为多个层次上的框架协议；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每一层次有其自身的详细程度：最高层承诺针对提供给整个组织的一般服务；较低层次承诺则与具体客户相关；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SLA须由客户确认后，提交运维部评审，通过后再经管理层评审；此评审活动应每年至少一次，评审结果形成《服务级别协议评审记录》；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客户提出的SLA变更请求，须由运维部评审通过后，再经管理层评审；对SLA的修订应使用变更管理流程进行控制；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《服务级别协议》经运维部讨论通过后，正式告知客户。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1084"/>
      <w:r>
        <w:rPr>
          <w:rFonts w:hint="default"/>
          <w:lang w:val="en-US" w:eastAsia="zh-CN"/>
        </w:rPr>
        <w:t>制定和修订UC</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为达成《服务级别协议》目标，如需第三方供应商支持，综合管理部经理需与外部供应商签订UC。UC必须考虑：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以《服务级别协议》为依据，制定相应的UC；</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《服务级别协议》的任何修改补充，均应在UC中得到修订；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第三方支持合同（UC）需通过合同评审，以公司名义与供应商签订。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运维部经理参与支持合同的协商、草拟、修订和终止工作。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当客户要求签订、修改或终止签有UC的服务合同时，运维部经理需同时向公司提出申请，要求签订、修改或终止相应的UC。</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3651"/>
      <w:r>
        <w:rPr>
          <w:rFonts w:hint="default"/>
          <w:lang w:val="en-US" w:eastAsia="zh-CN"/>
        </w:rPr>
        <w:t>采购管理</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运维部经理提出采购申请，综合管理部负责具体的采购管理。采购管理参照《供应商管理制度》执行。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317"/>
      <w:r>
        <w:rPr>
          <w:rFonts w:hint="default"/>
          <w:lang w:val="en-US" w:eastAsia="zh-CN"/>
        </w:rPr>
        <w:t>制定或完善服务目录</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运维部经理需针对服务项目制定或完善服务目录，注意要点：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尽量避免技术术语，使用符合业务的语言；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从客户角度看待问题，以此方法识别相关信息；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确保运维部及相关人员均可获取该文档。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7921"/>
      <w:r>
        <w:rPr>
          <w:rFonts w:hint="default"/>
          <w:lang w:val="en-US" w:eastAsia="zh-CN"/>
        </w:rPr>
        <w:t>监控服务级别执行情况</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服务级别必须从客户角度加以测度和评价：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监控不限于技术方面，应包括流程方面问题。例如，客户在得到服务已恢复通知前，仍认为服务不可用；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可用性管理和能力管理通常可提供与服务级别相关的技术目标实施情况信息；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必要时还应由服务支持流程（特别是事件管理）提供信息；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仅评价内部参数不够，因这些信息与客户体验无关。系统响应时间、升级时间、支持等方面也应尽量量化；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需结合来自系统的可用性和服务管理两方面的管理信息，才能获得全面考察。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8891"/>
      <w:r>
        <w:rPr>
          <w:rFonts w:hint="default"/>
          <w:lang w:val="en-US" w:eastAsia="zh-CN"/>
        </w:rPr>
        <w:t>执行情况汇报和评审</w:t>
      </w:r>
      <w:bookmarkEnd w:id="2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9543"/>
      <w:r>
        <w:rPr>
          <w:rFonts w:hint="default"/>
          <w:lang w:val="en-US" w:eastAsia="zh-CN"/>
        </w:rPr>
        <w:t>执行情况汇报</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各部门每季度组织部门例会，就本季度服务情况进行汇报总结，形成《会议纪要》，提出相关问题并落实人员改进。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911"/>
      <w:r>
        <w:rPr>
          <w:rFonts w:hint="default"/>
          <w:lang w:val="en-US" w:eastAsia="zh-CN"/>
        </w:rPr>
        <w:t>管理评审</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评审频次：每年至少进行一次，对公司阶段工作进行评审分析；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追加评审：发生紧急和重大事件时需追加服务管理评审。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6750"/>
      <w:r>
        <w:rPr>
          <w:rFonts w:hint="default"/>
          <w:lang w:val="en-US" w:eastAsia="zh-CN"/>
        </w:rPr>
        <w:t>管理评审内容</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自上次评审以来公告的服务级别承诺、服务级别协议、与服务有关的问题；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服务趋势确认、约定服务级别范围内对服务所做的变更；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对程序所做的变更及对所需额外资源的估计；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未能提供约定服务级别的原因分析。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管理评审具体执行参照公司《管理评审管理制度》。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20531"/>
      <w:r>
        <w:rPr>
          <w:rFonts w:hint="default"/>
          <w:lang w:val="en-US" w:eastAsia="zh-CN"/>
        </w:rPr>
        <w:t>持续改进</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运维部经理根据管理评审结果或部门例会《会议纪要》决议，识别问题和差距，提交持续改进：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填写《服务改进计划表》及跟踪表，分配额外人员和资源；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必要时对服务级别协议中定义的服务级别进行修改；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修改有关程序；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修改支持合同。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持续改进过程参照《能力改进管理制度》执行。</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9369"/>
      <w:r>
        <w:rPr>
          <w:rFonts w:hint="default"/>
          <w:lang w:val="en-US" w:eastAsia="zh-CN"/>
        </w:rPr>
        <w:t>过程质量控制</w:t>
      </w:r>
      <w:bookmarkEnd w:id="28"/>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12131"/>
      <w:r>
        <w:rPr>
          <w:rFonts w:hint="default"/>
          <w:lang w:val="en-US" w:eastAsia="zh-CN"/>
        </w:rPr>
        <w:t xml:space="preserve"> 过程质量控制流程表</w:t>
      </w:r>
      <w:bookmarkEnd w:id="2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782"/>
        <w:gridCol w:w="1566"/>
        <w:gridCol w:w="3202"/>
        <w:gridCol w:w="1018"/>
        <w:gridCol w:w="954"/>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78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156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输入</w:t>
            </w:r>
          </w:p>
        </w:tc>
        <w:tc>
          <w:tcPr>
            <w:tcW w:w="320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步骤描述</w:t>
            </w:r>
          </w:p>
        </w:tc>
        <w:tc>
          <w:tcPr>
            <w:tcW w:w="101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c>
          <w:tcPr>
            <w:tcW w:w="954"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负责人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1.现有过程评估</w:t>
            </w:r>
          </w:p>
        </w:tc>
        <w:tc>
          <w:tcPr>
            <w:tcW w:w="156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KPI报告、服务级别协议中规定的报告、服务改进计划</w:t>
            </w:r>
          </w:p>
        </w:tc>
        <w:tc>
          <w:tcPr>
            <w:tcW w:w="320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对服务级别管理过程中的KPI完成情况进行分析；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对服务级别履行程度进行差距分析；</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对客户提出的与服务级别管理过程相关的问题、建议和改进计划进行讨论回顾。</w:t>
            </w:r>
          </w:p>
        </w:tc>
        <w:tc>
          <w:tcPr>
            <w:tcW w:w="101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改进项</w:t>
            </w:r>
          </w:p>
        </w:tc>
        <w:tc>
          <w:tcPr>
            <w:tcW w:w="9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2.制定改进计划</w:t>
            </w:r>
          </w:p>
        </w:tc>
        <w:tc>
          <w:tcPr>
            <w:tcW w:w="156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改进项</w:t>
            </w:r>
          </w:p>
        </w:tc>
        <w:tc>
          <w:tcPr>
            <w:tcW w:w="320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根据回顾结果制定改进计划，计划包括：改进项、需求、改进方案、改进计划周期、时间、特殊要素及收益、可能造成的影响、资源需求、测试和培训计划。</w:t>
            </w:r>
          </w:p>
        </w:tc>
        <w:tc>
          <w:tcPr>
            <w:tcW w:w="101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c>
          <w:tcPr>
            <w:tcW w:w="9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3.审批改进计划</w:t>
            </w:r>
          </w:p>
        </w:tc>
        <w:tc>
          <w:tcPr>
            <w:tcW w:w="156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改进计划</w:t>
            </w:r>
          </w:p>
        </w:tc>
        <w:tc>
          <w:tcPr>
            <w:tcW w:w="320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对是否执行改进计划进行评估；</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根据已确认执行的改进计划提交变更请求；</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依据变更管理过程进行审批。</w:t>
            </w:r>
          </w:p>
        </w:tc>
        <w:tc>
          <w:tcPr>
            <w:tcW w:w="101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审批后的改进计划、变更请求</w:t>
            </w:r>
          </w:p>
        </w:tc>
        <w:tc>
          <w:tcPr>
            <w:tcW w:w="9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质量部、运维部、管理层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4.执行改进计划</w:t>
            </w:r>
          </w:p>
        </w:tc>
        <w:tc>
          <w:tcPr>
            <w:tcW w:w="156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被批准的改进计划和变更请求</w:t>
            </w:r>
          </w:p>
        </w:tc>
        <w:tc>
          <w:tcPr>
            <w:tcW w:w="320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调动资源组织相关人员依据计划执行被批准的改进计划和变更请求。</w:t>
            </w:r>
          </w:p>
        </w:tc>
        <w:tc>
          <w:tcPr>
            <w:tcW w:w="101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实施后的改进计划、改进效果</w:t>
            </w:r>
          </w:p>
        </w:tc>
        <w:tc>
          <w:tcPr>
            <w:tcW w:w="954"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7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5.回顾</w:t>
            </w:r>
          </w:p>
        </w:tc>
        <w:tc>
          <w:tcPr>
            <w:tcW w:w="156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实施后的改进计划、改进结果</w:t>
            </w:r>
          </w:p>
        </w:tc>
        <w:tc>
          <w:tcPr>
            <w:tcW w:w="320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对改进后的结果进行回顾，评估改进计划是否成功，存在哪些待改进项。依据PDCA方法论再次执行步骤1，对过程进行持续改进。</w:t>
            </w:r>
          </w:p>
        </w:tc>
        <w:tc>
          <w:tcPr>
            <w:tcW w:w="101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回顾结果、关闭的变更请求和服务改进计划</w:t>
            </w:r>
          </w:p>
        </w:tc>
        <w:tc>
          <w:tcPr>
            <w:tcW w:w="954"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质量部、运维部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9001"/>
      <w:r>
        <w:rPr>
          <w:rFonts w:hint="default"/>
          <w:lang w:val="en-US" w:eastAsia="zh-CN"/>
        </w:rPr>
        <w:t>KPI指标</w:t>
      </w:r>
      <w:bookmarkEnd w:id="30"/>
    </w:p>
    <w:p>
      <w:pPr>
        <w:pStyle w:val="a1"/>
        <w:keepNext/>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1" w:name="_Toc32612"/>
      <w:r>
        <w:rPr>
          <w:rFonts w:hint="default"/>
          <w:lang w:val="en-US" w:eastAsia="zh-CN"/>
        </w:rPr>
        <w:t xml:space="preserve"> KPI指标表</w:t>
      </w:r>
      <w:bookmarkEnd w:id="31"/>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446"/>
        <w:gridCol w:w="5197"/>
        <w:gridCol w:w="872"/>
        <w:gridCol w:w="100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446"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bookmarkStart w:id="32" w:name="_GoBack"/>
            <w:bookmarkEnd w:id="32"/>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519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87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007"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SLA达成率</w:t>
            </w:r>
          </w:p>
        </w:tc>
        <w:tc>
          <w:tcPr>
            <w:tcW w:w="519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当期已达成的SLA数 / 当期应达成的SLA总数 × 100%</w:t>
            </w:r>
          </w:p>
        </w:tc>
        <w:tc>
          <w:tcPr>
            <w:tcW w:w="87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月度</w:t>
            </w:r>
          </w:p>
        </w:tc>
        <w:tc>
          <w:tcPr>
            <w:tcW w:w="1007"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1446"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w:t>
            </w:r>
          </w:p>
        </w:tc>
        <w:tc>
          <w:tcPr>
            <w:tcW w:w="519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SLA评审次数统计</w:t>
            </w:r>
          </w:p>
        </w:tc>
        <w:tc>
          <w:tcPr>
            <w:tcW w:w="87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Arial" w:eastAsia="宋体" w:hAnsi="Arial" w:cs="Arial" w:hint="default"/>
                <w:snapToGrid w:val="0"/>
                <w:color w:val="000000"/>
                <w:kern w:val="0"/>
                <w:sz w:val="24"/>
                <w:szCs w:val="21"/>
                <w:vertAlign w:val="baseline"/>
                <w:lang w:val="en-US" w:eastAsia="zh-CN" w:bidi="ar-SA"/>
              </w:rPr>
            </w:pPr>
            <w:r>
              <w:rPr>
                <w:rFonts w:ascii="Arial" w:eastAsia="宋体" w:hAnsi="Arial" w:cs="Arial" w:hint="default"/>
                <w:snapToGrid w:val="0"/>
                <w:color w:val="000000"/>
                <w:kern w:val="0"/>
                <w:sz w:val="24"/>
                <w:szCs w:val="21"/>
                <w:vertAlign w:val="baseline"/>
                <w:lang w:val="en-US" w:eastAsia="zh-CN" w:bidi="ar-SA"/>
              </w:rPr>
              <w:t>年度</w:t>
            </w:r>
          </w:p>
        </w:tc>
        <w:tc>
          <w:tcPr>
            <w:tcW w:w="1007"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Arial" w:eastAsia="宋体" w:hAnsi="Arial"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6913"/>
      <w:r>
        <w:rPr>
          <w:rFonts w:hint="default"/>
          <w:lang w:val="en-US" w:eastAsia="zh-CN"/>
        </w:rPr>
        <w:t>相关文件</w:t>
      </w:r>
      <w:bookmarkEnd w:id="33"/>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《供应商管理制度》</w:t>
      </w:r>
      <w:r>
        <w:rPr>
          <w:rFonts w:hint="default"/>
          <w:lang w:val="en-US" w:eastAsia="zh-CN"/>
        </w:rPr>
        <w:tab/>
      </w:r>
      <w:r>
        <w:rPr>
          <w:rFonts w:hint="default"/>
          <w:lang w:val="en-US" w:eastAsia="zh-CN"/>
        </w:rPr>
        <w:t>TJTY-ITSS-</w:t>
      </w:r>
      <w:r>
        <w:rPr>
          <w:rFonts w:hint="eastAsia"/>
          <w:lang w:val="en-US" w:eastAsia="zh-CN"/>
        </w:rPr>
        <w:t>0807</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《管理评审管理制度》</w:t>
      </w:r>
      <w:r>
        <w:rPr>
          <w:rFonts w:hint="default"/>
          <w:lang w:val="en-US" w:eastAsia="zh-CN"/>
        </w:rPr>
        <w:tab/>
      </w:r>
      <w:r>
        <w:rPr>
          <w:rFonts w:hint="default"/>
          <w:lang w:val="en-US" w:eastAsia="zh-CN"/>
        </w:rPr>
        <w:t>TJTY-ITSS-0402</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《能力改进管理制度》</w:t>
      </w:r>
      <w:r>
        <w:rPr>
          <w:rFonts w:hint="default"/>
          <w:lang w:val="en-US" w:eastAsia="zh-CN"/>
        </w:rPr>
        <w:tab/>
      </w:r>
      <w:r>
        <w:rPr>
          <w:rFonts w:hint="default"/>
          <w:lang w:val="en-US" w:eastAsia="zh-CN"/>
        </w:rPr>
        <w:t>TJTY-ITSS-0302</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5712"/>
      <w:r>
        <w:rPr>
          <w:rFonts w:hint="default"/>
          <w:lang w:val="en-US" w:eastAsia="zh-CN"/>
        </w:rPr>
        <w:t>相关记录</w:t>
      </w:r>
      <w:bookmarkEnd w:id="3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5" w:name="_Toc5841"/>
      <w:r>
        <w:rPr>
          <w:rFonts w:hint="default"/>
          <w:lang w:val="en-US" w:eastAsia="zh-CN"/>
        </w:rPr>
        <w:t xml:space="preserve"> 相关记录表</w:t>
      </w:r>
      <w:bookmarkEnd w:id="35"/>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817"/>
        <w:gridCol w:w="1839"/>
        <w:gridCol w:w="1839"/>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文件和记录</w:t>
            </w:r>
          </w:p>
        </w:tc>
        <w:tc>
          <w:tcPr>
            <w:tcW w:w="0" w:type="auto"/>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责任部门</w:t>
            </w:r>
          </w:p>
        </w:tc>
        <w:tc>
          <w:tcPr>
            <w:tcW w:w="183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保存期限</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《服务目录》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《项目服务级别协议或服务合同》</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长期</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《服务级别协议评审记录》</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质量部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5年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《服务级别报告》</w:t>
            </w:r>
          </w:p>
        </w:tc>
        <w:tc>
          <w:tcPr>
            <w:tcW w:w="0" w:type="auto"/>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r>
        <w:tblPrEx>
          <w:tblW w:w="8495" w:type="dxa"/>
          <w:jc w:val="center"/>
          <w:shd w:val="clear" w:color="auto" w:fill="auto"/>
          <w:tblCellMar>
            <w:top w:w="15" w:type="dxa"/>
            <w:left w:w="15" w:type="dxa"/>
            <w:bottom w:w="15" w:type="dxa"/>
            <w:right w:w="15" w:type="dxa"/>
          </w:tblCellMar>
        </w:tblPrEx>
        <w:trPr>
          <w:trHeight w:val="0"/>
          <w:jc w:val="center"/>
        </w:trPr>
        <w:tc>
          <w:tcPr>
            <w:tcW w:w="4817"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《服务改进计划》</w:t>
            </w:r>
          </w:p>
        </w:tc>
        <w:tc>
          <w:tcPr>
            <w:tcW w:w="183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w:t>
            </w:r>
          </w:p>
        </w:tc>
        <w:tc>
          <w:tcPr>
            <w:tcW w:w="183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3年</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45B3CA9"/>
    <w:multiLevelType w:val="singleLevel"/>
    <w:tmpl w:val="A45B3CA9"/>
    <w:lvl w:ilvl="0">
      <w:start w:val="1"/>
      <w:numFmt w:val="decimal"/>
      <w:lvlText w:val="%1."/>
      <w:lvlJc w:val="left"/>
      <w:pPr>
        <w:ind w:left="425" w:hanging="425"/>
      </w:pPr>
      <w:rPr>
        <w:rFonts w:hint="default"/>
      </w:rPr>
    </w:lvl>
  </w:abstractNum>
  <w:abstractNum w:abstractNumId="2">
    <w:nsid w:val="B8E6C3FD"/>
    <w:multiLevelType w:val="singleLevel"/>
    <w:tmpl w:val="B8E6C3FD"/>
    <w:lvl w:ilvl="0">
      <w:start w:val="1"/>
      <w:numFmt w:val="decimal"/>
      <w:lvlText w:val="%1."/>
      <w:lvlJc w:val="left"/>
      <w:pPr>
        <w:ind w:left="425" w:hanging="425"/>
      </w:pPr>
      <w:rPr>
        <w:rFonts w:hint="default"/>
      </w:rPr>
    </w:lvl>
  </w:abstractNum>
  <w:abstractNum w:abstractNumId="3">
    <w:nsid w:val="0C39644A"/>
    <w:multiLevelType w:val="singleLevel"/>
    <w:tmpl w:val="0C39644A"/>
    <w:lvl w:ilvl="0">
      <w:start w:val="1"/>
      <w:numFmt w:val="decimal"/>
      <w:lvlText w:val="%1."/>
      <w:lvlJc w:val="left"/>
      <w:pPr>
        <w:ind w:left="425" w:hanging="425"/>
      </w:pPr>
      <w:rPr>
        <w:rFonts w:hint="default"/>
      </w:rPr>
    </w:lvl>
  </w:abstractNum>
  <w:abstractNum w:abstractNumId="4">
    <w:nsid w:val="70C4D01C"/>
    <w:multiLevelType w:val="singleLevel"/>
    <w:tmpl w:val="70C4D01C"/>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1062</Words>
  <Characters>1234</Characters>
  <Application>Microsoft Office Word</Application>
  <DocSecurity>0</DocSecurity>
  <Lines>0</Lines>
  <Paragraphs>0</Paragraphs>
  <ScaleCrop>false</ScaleCrop>
  <Company/>
  <LinksUpToDate>false</LinksUpToDate>
  <CharactersWithSpaces>1376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2026-03-18T17:47:03Z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