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运维服务报告管理制度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TJTY-ITSS-0603</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刘禹</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_Toc26587 </w:instrText>
          </w:r>
          <w:r>
            <w:fldChar w:fldCharType="separate"/>
          </w:r>
          <w:r>
            <w:rPr>
              <w:rFonts w:hint="default"/>
              <w:lang w:val="en-US" w:eastAsia="zh-CN"/>
            </w:rPr>
            <w:t>1. 目的</w:t>
          </w:r>
          <w:r>
            <w:tab/>
          </w:r>
          <w:r>
            <w:fldChar w:fldCharType="begin"/>
          </w:r>
          <w:r>
            <w:instrText xml:space="preserve"> PAGEREF _Toc26587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_Toc30227 </w:instrText>
          </w:r>
          <w:r>
            <w:fldChar w:fldCharType="separate"/>
          </w:r>
          <w:r>
            <w:rPr>
              <w:rFonts w:hint="default"/>
              <w:lang w:val="en-US" w:eastAsia="zh-CN"/>
            </w:rPr>
            <w:t>2. 范围</w:t>
          </w:r>
          <w:r>
            <w:tab/>
          </w:r>
          <w:r>
            <w:fldChar w:fldCharType="begin"/>
          </w:r>
          <w:r>
            <w:instrText xml:space="preserve"> PAGEREF _Toc30227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_Toc11281 </w:instrText>
          </w:r>
          <w:r>
            <w:fldChar w:fldCharType="separate"/>
          </w:r>
          <w:r>
            <w:rPr>
              <w:rFonts w:hint="default"/>
              <w:lang w:val="en-US" w:eastAsia="zh-CN"/>
            </w:rPr>
            <w:t>3. 术语与定义</w:t>
          </w:r>
          <w:r>
            <w:tab/>
          </w:r>
          <w:r>
            <w:fldChar w:fldCharType="begin"/>
          </w:r>
          <w:r>
            <w:instrText xml:space="preserve"> PAGEREF _Toc11281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_Toc12700 </w:instrText>
          </w:r>
          <w:r>
            <w:fldChar w:fldCharType="separate"/>
          </w:r>
          <w:r>
            <w:rPr>
              <w:rFonts w:hint="default"/>
              <w:lang w:val="en-US" w:eastAsia="zh-CN"/>
            </w:rPr>
            <w:t>4. 角色与职责</w:t>
          </w:r>
          <w:r>
            <w:tab/>
          </w:r>
          <w:r>
            <w:fldChar w:fldCharType="begin"/>
          </w:r>
          <w:r>
            <w:instrText xml:space="preserve"> PAGEREF _Toc12700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_Toc3610 </w:instrText>
          </w:r>
          <w:r>
            <w:fldChar w:fldCharType="separate"/>
          </w:r>
          <w:r>
            <w:rPr>
              <w:rFonts w:hint="default"/>
              <w:lang w:val="en-US" w:eastAsia="zh-CN"/>
            </w:rPr>
            <w:t>5. 服务报告管理流程与其他流程的关系</w:t>
          </w:r>
          <w:r>
            <w:tab/>
          </w:r>
          <w:r>
            <w:fldChar w:fldCharType="begin"/>
          </w:r>
          <w:r>
            <w:instrText xml:space="preserve"> PAGEREF _Toc3610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_Toc17966 </w:instrText>
          </w:r>
          <w:r>
            <w:fldChar w:fldCharType="separate"/>
          </w:r>
          <w:r>
            <w:rPr>
              <w:rFonts w:hint="default"/>
              <w:lang w:val="en-US" w:eastAsia="zh-CN"/>
            </w:rPr>
            <w:t>5.1. 与服务级别管理的关系</w:t>
          </w:r>
          <w:r>
            <w:tab/>
          </w:r>
          <w:r>
            <w:fldChar w:fldCharType="begin"/>
          </w:r>
          <w:r>
            <w:instrText xml:space="preserve"> PAGEREF _Toc17966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_Toc13942 </w:instrText>
          </w:r>
          <w:r>
            <w:fldChar w:fldCharType="separate"/>
          </w:r>
          <w:r>
            <w:rPr>
              <w:rFonts w:hint="default"/>
              <w:lang w:val="en-US" w:eastAsia="zh-CN"/>
            </w:rPr>
            <w:t>5.2. 与事件管理的关系</w:t>
          </w:r>
          <w:r>
            <w:tab/>
          </w:r>
          <w:r>
            <w:fldChar w:fldCharType="begin"/>
          </w:r>
          <w:r>
            <w:instrText xml:space="preserve"> PAGEREF _Toc13942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_Toc22658 </w:instrText>
          </w:r>
          <w:r>
            <w:fldChar w:fldCharType="separate"/>
          </w:r>
          <w:r>
            <w:rPr>
              <w:rFonts w:hint="default"/>
              <w:lang w:val="en-US" w:eastAsia="zh-CN"/>
            </w:rPr>
            <w:t>5.3. 与问题管理的关系</w:t>
          </w:r>
          <w:r>
            <w:tab/>
          </w:r>
          <w:r>
            <w:fldChar w:fldCharType="begin"/>
          </w:r>
          <w:r>
            <w:instrText xml:space="preserve"> PAGEREF _Toc22658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_Toc9317 </w:instrText>
          </w:r>
          <w:r>
            <w:fldChar w:fldCharType="separate"/>
          </w:r>
          <w:r>
            <w:rPr>
              <w:rFonts w:hint="default"/>
              <w:lang w:val="en-US" w:eastAsia="zh-CN"/>
            </w:rPr>
            <w:t>5.4. 与变更管理的关系</w:t>
          </w:r>
          <w:r>
            <w:tab/>
          </w:r>
          <w:r>
            <w:fldChar w:fldCharType="begin"/>
          </w:r>
          <w:r>
            <w:instrText xml:space="preserve"> PAGEREF _Toc9317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_Toc19094 </w:instrText>
          </w:r>
          <w:r>
            <w:fldChar w:fldCharType="separate"/>
          </w:r>
          <w:r>
            <w:rPr>
              <w:rFonts w:hint="default"/>
              <w:lang w:val="en-US" w:eastAsia="zh-CN"/>
            </w:rPr>
            <w:t>5.5. 与配置管理的关系</w:t>
          </w:r>
          <w:r>
            <w:tab/>
          </w:r>
          <w:r>
            <w:fldChar w:fldCharType="begin"/>
          </w:r>
          <w:r>
            <w:instrText xml:space="preserve"> PAGEREF _Toc19094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_Toc6821 </w:instrText>
          </w:r>
          <w:r>
            <w:fldChar w:fldCharType="separate"/>
          </w:r>
          <w:r>
            <w:rPr>
              <w:rFonts w:hint="default"/>
              <w:lang w:val="en-US" w:eastAsia="zh-CN"/>
            </w:rPr>
            <w:t>5.6. 与能力管理的关系</w:t>
          </w:r>
          <w:r>
            <w:tab/>
          </w:r>
          <w:r>
            <w:fldChar w:fldCharType="begin"/>
          </w:r>
          <w:r>
            <w:instrText xml:space="preserve"> PAGEREF _Toc6821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_Toc516 </w:instrText>
          </w:r>
          <w:r>
            <w:fldChar w:fldCharType="separate"/>
          </w:r>
          <w:r>
            <w:rPr>
              <w:rFonts w:hint="default"/>
              <w:lang w:val="en-US" w:eastAsia="zh-CN"/>
            </w:rPr>
            <w:t>5.7. 与应急管理的关系</w:t>
          </w:r>
          <w:r>
            <w:tab/>
          </w:r>
          <w:r>
            <w:fldChar w:fldCharType="begin"/>
          </w:r>
          <w:r>
            <w:instrText xml:space="preserve"> PAGEREF _Toc516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_Toc9969 </w:instrText>
          </w:r>
          <w:r>
            <w:fldChar w:fldCharType="separate"/>
          </w:r>
          <w:r>
            <w:rPr>
              <w:rFonts w:hint="default"/>
              <w:lang w:val="en-US" w:eastAsia="zh-CN"/>
            </w:rPr>
            <w:t>5.8. 与满意度管理的关系</w:t>
          </w:r>
          <w:r>
            <w:tab/>
          </w:r>
          <w:r>
            <w:fldChar w:fldCharType="begin"/>
          </w:r>
          <w:r>
            <w:instrText xml:space="preserve"> PAGEREF _Toc9969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_Toc16891 </w:instrText>
          </w:r>
          <w:r>
            <w:fldChar w:fldCharType="separate"/>
          </w:r>
          <w:r>
            <w:rPr>
              <w:rFonts w:hint="default"/>
              <w:lang w:val="en-US" w:eastAsia="zh-CN"/>
            </w:rPr>
            <w:t>5.9. 与质量管理的关系</w:t>
          </w:r>
          <w:r>
            <w:tab/>
          </w:r>
          <w:r>
            <w:fldChar w:fldCharType="begin"/>
          </w:r>
          <w:r>
            <w:instrText xml:space="preserve"> PAGEREF _Toc16891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_Toc17047 </w:instrText>
          </w:r>
          <w:r>
            <w:fldChar w:fldCharType="separate"/>
          </w:r>
          <w:r>
            <w:rPr>
              <w:rFonts w:hint="default"/>
              <w:lang w:val="en-US" w:eastAsia="zh-CN"/>
            </w:rPr>
            <w:t>5.10. 与持续改进的关系</w:t>
          </w:r>
          <w:r>
            <w:tab/>
          </w:r>
          <w:r>
            <w:fldChar w:fldCharType="begin"/>
          </w:r>
          <w:r>
            <w:instrText xml:space="preserve"> PAGEREF _Toc17047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_Toc15878 </w:instrText>
          </w:r>
          <w:r>
            <w:fldChar w:fldCharType="separate"/>
          </w:r>
          <w:r>
            <w:rPr>
              <w:rFonts w:hint="default"/>
              <w:lang w:val="en-US" w:eastAsia="zh-CN"/>
            </w:rPr>
            <w:t>6. 服务报告分类与内容</w:t>
          </w:r>
          <w:r>
            <w:tab/>
          </w:r>
          <w:r>
            <w:fldChar w:fldCharType="begin"/>
          </w:r>
          <w:r>
            <w:instrText xml:space="preserve"> PAGEREF _Toc15878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_Toc15521 </w:instrText>
          </w:r>
          <w:r>
            <w:fldChar w:fldCharType="separate"/>
          </w:r>
          <w:r>
            <w:rPr>
              <w:rFonts w:hint="default"/>
              <w:lang w:val="en-US" w:eastAsia="zh-CN"/>
            </w:rPr>
            <w:t>6.1. 服务报告分类</w:t>
          </w:r>
          <w:r>
            <w:tab/>
          </w:r>
          <w:r>
            <w:fldChar w:fldCharType="begin"/>
          </w:r>
          <w:r>
            <w:instrText xml:space="preserve"> PAGEREF _Toc15521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_Toc29702 </w:instrText>
          </w:r>
          <w:r>
            <w:fldChar w:fldCharType="separate"/>
          </w:r>
          <w:r>
            <w:rPr>
              <w:rFonts w:hint="default"/>
              <w:lang w:val="en-US" w:eastAsia="zh-CN"/>
            </w:rPr>
            <w:t>6.2. 服务报告内容要求</w:t>
          </w:r>
          <w:r>
            <w:tab/>
          </w:r>
          <w:r>
            <w:fldChar w:fldCharType="begin"/>
          </w:r>
          <w:r>
            <w:instrText xml:space="preserve"> PAGEREF _Toc29702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_Toc25189 </w:instrText>
          </w:r>
          <w:r>
            <w:fldChar w:fldCharType="separate"/>
          </w:r>
          <w:r>
            <w:rPr>
              <w:rFonts w:hint="default"/>
              <w:lang w:val="en-US" w:eastAsia="zh-CN"/>
            </w:rPr>
            <w:t xml:space="preserve">6.3. </w:t>
          </w:r>
          <w:r>
            <w:rPr>
              <w:rFonts w:hint="eastAsia"/>
              <w:lang w:val="en-US" w:eastAsia="zh-CN"/>
            </w:rPr>
            <w:t>服务报告编制原则</w:t>
          </w:r>
          <w:r>
            <w:tab/>
          </w:r>
          <w:r>
            <w:fldChar w:fldCharType="begin"/>
          </w:r>
          <w:r>
            <w:instrText xml:space="preserve"> PAGEREF _Toc25189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_Toc3853 </w:instrText>
          </w:r>
          <w:r>
            <w:fldChar w:fldCharType="separate"/>
          </w:r>
          <w:r>
            <w:rPr>
              <w:rFonts w:hint="default"/>
              <w:lang w:val="en-US" w:eastAsia="zh-CN"/>
            </w:rPr>
            <w:t>7. 服务报告管理流程</w:t>
          </w:r>
          <w:r>
            <w:tab/>
          </w:r>
          <w:r>
            <w:fldChar w:fldCharType="begin"/>
          </w:r>
          <w:r>
            <w:instrText xml:space="preserve"> PAGEREF _Toc3853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_Toc16762 </w:instrText>
          </w:r>
          <w:r>
            <w:fldChar w:fldCharType="separate"/>
          </w:r>
          <w:r>
            <w:rPr>
              <w:rFonts w:hint="default"/>
              <w:lang w:val="en-US" w:eastAsia="zh-CN"/>
            </w:rPr>
            <w:t>8. 过程描述</w:t>
          </w:r>
          <w:r>
            <w:tab/>
          </w:r>
          <w:r>
            <w:fldChar w:fldCharType="begin"/>
          </w:r>
          <w:r>
            <w:instrText xml:space="preserve"> PAGEREF _Toc16762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_Toc25080 </w:instrText>
          </w:r>
          <w:r>
            <w:fldChar w:fldCharType="separate"/>
          </w:r>
          <w:r>
            <w:rPr>
              <w:rFonts w:hint="default"/>
              <w:lang w:val="en-US" w:eastAsia="zh-CN"/>
            </w:rPr>
            <w:t>8.1. 识别报告要素</w:t>
          </w:r>
          <w:r>
            <w:tab/>
          </w:r>
          <w:r>
            <w:fldChar w:fldCharType="begin"/>
          </w:r>
          <w:r>
            <w:instrText xml:space="preserve"> PAGEREF _Toc25080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_Toc30302 </w:instrText>
          </w:r>
          <w:r>
            <w:fldChar w:fldCharType="separate"/>
          </w:r>
          <w:r>
            <w:rPr>
              <w:rFonts w:hint="default"/>
              <w:lang w:val="en-US" w:eastAsia="zh-CN"/>
            </w:rPr>
            <w:t>8.2. 收集分析报告数据</w:t>
          </w:r>
          <w:r>
            <w:tab/>
          </w:r>
          <w:r>
            <w:fldChar w:fldCharType="begin"/>
          </w:r>
          <w:r>
            <w:instrText xml:space="preserve"> PAGEREF _Toc30302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_Toc16382 </w:instrText>
          </w:r>
          <w:r>
            <w:fldChar w:fldCharType="separate"/>
          </w:r>
          <w:r>
            <w:rPr>
              <w:rFonts w:hint="default"/>
              <w:lang w:val="en-US" w:eastAsia="zh-CN"/>
            </w:rPr>
            <w:t>8.3. 编写服务报告</w:t>
          </w:r>
          <w:r>
            <w:tab/>
          </w:r>
          <w:r>
            <w:fldChar w:fldCharType="begin"/>
          </w:r>
          <w:r>
            <w:instrText xml:space="preserve"> PAGEREF _Toc16382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_Toc21847 </w:instrText>
          </w:r>
          <w:r>
            <w:fldChar w:fldCharType="separate"/>
          </w:r>
          <w:r>
            <w:rPr>
              <w:rFonts w:hint="default"/>
              <w:lang w:val="en-US" w:eastAsia="zh-CN"/>
            </w:rPr>
            <w:t>8.4. 服务报告评审</w:t>
          </w:r>
          <w:r>
            <w:tab/>
          </w:r>
          <w:r>
            <w:fldChar w:fldCharType="begin"/>
          </w:r>
          <w:r>
            <w:instrText xml:space="preserve"> PAGEREF _Toc21847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_Toc27278 </w:instrText>
          </w:r>
          <w:r>
            <w:fldChar w:fldCharType="separate"/>
          </w:r>
          <w:r>
            <w:rPr>
              <w:rFonts w:hint="default"/>
              <w:lang w:val="en-US" w:eastAsia="zh-CN"/>
            </w:rPr>
            <w:t>8.5. 服务报告审批</w:t>
          </w:r>
          <w:r>
            <w:tab/>
          </w:r>
          <w:r>
            <w:fldChar w:fldCharType="begin"/>
          </w:r>
          <w:r>
            <w:instrText xml:space="preserve"> PAGEREF _Toc27278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_Toc26454 </w:instrText>
          </w:r>
          <w:r>
            <w:fldChar w:fldCharType="separate"/>
          </w:r>
          <w:r>
            <w:rPr>
              <w:rFonts w:hint="default"/>
              <w:lang w:val="en-US" w:eastAsia="zh-CN"/>
            </w:rPr>
            <w:t>8.6. 提交/分发服务报告</w:t>
          </w:r>
          <w:r>
            <w:tab/>
          </w:r>
          <w:r>
            <w:fldChar w:fldCharType="begin"/>
          </w:r>
          <w:r>
            <w:instrText xml:space="preserve"> PAGEREF _Toc26454 \h </w:instrText>
          </w:r>
          <w:r>
            <w:fldChar w:fldCharType="separate"/>
          </w:r>
          <w:r>
            <w:t>14</w:t>
          </w:r>
          <w:r>
            <w:fldChar w:fldCharType="end"/>
          </w:r>
          <w:r>
            <w:fldChar w:fldCharType="end"/>
          </w:r>
        </w:p>
        <w:p>
          <w:pPr>
            <w:pStyle w:val="TOC1"/>
            <w:tabs>
              <w:tab w:val="right" w:leader="dot" w:pos="8306"/>
            </w:tabs>
          </w:pPr>
          <w:r>
            <w:fldChar w:fldCharType="begin"/>
          </w:r>
          <w:r>
            <w:instrText xml:space="preserve"> HYPERLINK \l _Toc18217 </w:instrText>
          </w:r>
          <w:r>
            <w:fldChar w:fldCharType="separate"/>
          </w:r>
          <w:r>
            <w:rPr>
              <w:rFonts w:hint="default"/>
              <w:lang w:val="en-US" w:eastAsia="zh-CN"/>
            </w:rPr>
            <w:t>9. 服务报告分发活动</w:t>
          </w:r>
          <w:r>
            <w:tab/>
          </w:r>
          <w:r>
            <w:fldChar w:fldCharType="begin"/>
          </w:r>
          <w:r>
            <w:instrText xml:space="preserve"> PAGEREF _Toc18217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_Toc17118 </w:instrText>
          </w:r>
          <w:r>
            <w:fldChar w:fldCharType="separate"/>
          </w:r>
          <w:r>
            <w:rPr>
              <w:rFonts w:hint="default"/>
              <w:lang w:val="en-US" w:eastAsia="zh-CN"/>
            </w:rPr>
            <w:t>9.1. 服务报告分发矩阵</w:t>
          </w:r>
          <w:r>
            <w:tab/>
          </w:r>
          <w:r>
            <w:fldChar w:fldCharType="begin"/>
          </w:r>
          <w:r>
            <w:instrText xml:space="preserve"> PAGEREF _Toc17118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_Toc25895 </w:instrText>
          </w:r>
          <w:r>
            <w:fldChar w:fldCharType="separate"/>
          </w:r>
          <w:r>
            <w:rPr>
              <w:rFonts w:hint="default"/>
              <w:lang w:val="en-US" w:eastAsia="zh-CN"/>
            </w:rPr>
            <w:t>9.2. 分发要求</w:t>
          </w:r>
          <w:r>
            <w:tab/>
          </w:r>
          <w:r>
            <w:fldChar w:fldCharType="begin"/>
          </w:r>
          <w:r>
            <w:instrText xml:space="preserve"> PAGEREF _Toc25895 \h </w:instrText>
          </w:r>
          <w:r>
            <w:fldChar w:fldCharType="separate"/>
          </w:r>
          <w:r>
            <w:t>14</w:t>
          </w:r>
          <w:r>
            <w:fldChar w:fldCharType="end"/>
          </w:r>
          <w:r>
            <w:fldChar w:fldCharType="end"/>
          </w:r>
        </w:p>
        <w:p>
          <w:pPr>
            <w:pStyle w:val="TOC1"/>
            <w:tabs>
              <w:tab w:val="right" w:leader="dot" w:pos="8306"/>
            </w:tabs>
          </w:pPr>
          <w:r>
            <w:fldChar w:fldCharType="begin"/>
          </w:r>
          <w:r>
            <w:instrText xml:space="preserve"> HYPERLINK \l _Toc18752 </w:instrText>
          </w:r>
          <w:r>
            <w:fldChar w:fldCharType="separate"/>
          </w:r>
          <w:r>
            <w:rPr>
              <w:rFonts w:hint="default"/>
              <w:lang w:val="en-US" w:eastAsia="zh-CN"/>
            </w:rPr>
            <w:t>10. 服务报告评审与改进</w:t>
          </w:r>
          <w:r>
            <w:tab/>
          </w:r>
          <w:r>
            <w:fldChar w:fldCharType="begin"/>
          </w:r>
          <w:r>
            <w:instrText xml:space="preserve"> PAGEREF _Toc18752 \h </w:instrText>
          </w:r>
          <w:r>
            <w:fldChar w:fldCharType="separate"/>
          </w:r>
          <w:r>
            <w:t>14</w:t>
          </w:r>
          <w:r>
            <w:fldChar w:fldCharType="end"/>
          </w:r>
          <w:r>
            <w:fldChar w:fldCharType="end"/>
          </w:r>
        </w:p>
        <w:p>
          <w:pPr>
            <w:pStyle w:val="TOC2"/>
            <w:tabs>
              <w:tab w:val="right" w:leader="dot" w:pos="8306"/>
            </w:tabs>
          </w:pPr>
          <w:r>
            <w:fldChar w:fldCharType="begin"/>
          </w:r>
          <w:r>
            <w:instrText xml:space="preserve"> HYPERLINK \l _Toc23173 </w:instrText>
          </w:r>
          <w:r>
            <w:fldChar w:fldCharType="separate"/>
          </w:r>
          <w:r>
            <w:rPr>
              <w:rFonts w:hint="default"/>
              <w:lang w:val="en-US" w:eastAsia="zh-CN"/>
            </w:rPr>
            <w:t>10.1. 定期评审</w:t>
          </w:r>
          <w:r>
            <w:tab/>
          </w:r>
          <w:r>
            <w:fldChar w:fldCharType="begin"/>
          </w:r>
          <w:r>
            <w:instrText xml:space="preserve"> PAGEREF _Toc23173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_Toc21170 </w:instrText>
          </w:r>
          <w:r>
            <w:fldChar w:fldCharType="separate"/>
          </w:r>
          <w:r>
            <w:rPr>
              <w:rFonts w:hint="default"/>
              <w:lang w:val="en-US" w:eastAsia="zh-CN"/>
            </w:rPr>
            <w:t>10.2. 服务报告评审表</w:t>
          </w:r>
          <w:r>
            <w:tab/>
          </w:r>
          <w:r>
            <w:fldChar w:fldCharType="begin"/>
          </w:r>
          <w:r>
            <w:instrText xml:space="preserve"> PAGEREF _Toc21170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_Toc30760 </w:instrText>
          </w:r>
          <w:r>
            <w:fldChar w:fldCharType="separate"/>
          </w:r>
          <w:r>
            <w:rPr>
              <w:rFonts w:hint="default"/>
              <w:lang w:val="en-US" w:eastAsia="zh-CN"/>
            </w:rPr>
            <w:t>10.3. 改进机制</w:t>
          </w:r>
          <w:r>
            <w:tab/>
          </w:r>
          <w:r>
            <w:fldChar w:fldCharType="begin"/>
          </w:r>
          <w:r>
            <w:instrText xml:space="preserve"> PAGEREF _Toc30760 \h </w:instrText>
          </w:r>
          <w:r>
            <w:fldChar w:fldCharType="separate"/>
          </w:r>
          <w:r>
            <w:t>15</w:t>
          </w:r>
          <w:r>
            <w:fldChar w:fldCharType="end"/>
          </w:r>
          <w:r>
            <w:fldChar w:fldCharType="end"/>
          </w:r>
        </w:p>
        <w:p>
          <w:pPr>
            <w:pStyle w:val="TOC1"/>
            <w:tabs>
              <w:tab w:val="right" w:leader="dot" w:pos="8306"/>
            </w:tabs>
          </w:pPr>
          <w:r>
            <w:fldChar w:fldCharType="begin"/>
          </w:r>
          <w:r>
            <w:instrText xml:space="preserve"> HYPERLINK \l _Toc26624 </w:instrText>
          </w:r>
          <w:r>
            <w:fldChar w:fldCharType="separate"/>
          </w:r>
          <w:r>
            <w:rPr>
              <w:rFonts w:hint="default"/>
              <w:lang w:val="en-US" w:eastAsia="zh-CN"/>
            </w:rPr>
            <w:t>11. 过程质量控制</w:t>
          </w:r>
          <w:r>
            <w:tab/>
          </w:r>
          <w:r>
            <w:fldChar w:fldCharType="begin"/>
          </w:r>
          <w:r>
            <w:instrText xml:space="preserve"> PAGEREF _Toc26624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_Toc6461 </w:instrText>
          </w:r>
          <w:r>
            <w:fldChar w:fldCharType="separate"/>
          </w:r>
          <w:r>
            <w:rPr>
              <w:rFonts w:hint="default"/>
              <w:lang w:val="en-US" w:eastAsia="zh-CN"/>
            </w:rPr>
            <w:t>12. KPI指标</w:t>
          </w:r>
          <w:r>
            <w:tab/>
          </w:r>
          <w:r>
            <w:fldChar w:fldCharType="begin"/>
          </w:r>
          <w:r>
            <w:instrText xml:space="preserve"> PAGEREF _Toc6461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_Toc24298 </w:instrText>
          </w:r>
          <w:r>
            <w:fldChar w:fldCharType="separate"/>
          </w:r>
          <w:r>
            <w:rPr>
              <w:rFonts w:hint="default"/>
              <w:lang w:val="en-US" w:eastAsia="zh-CN"/>
            </w:rPr>
            <w:t>13. 相关文件</w:t>
          </w:r>
          <w:r>
            <w:tab/>
          </w:r>
          <w:r>
            <w:fldChar w:fldCharType="begin"/>
          </w:r>
          <w:r>
            <w:instrText xml:space="preserve"> PAGEREF _Toc24298 \h </w:instrText>
          </w:r>
          <w:r>
            <w:fldChar w:fldCharType="separate"/>
          </w:r>
          <w:r>
            <w:t>16</w:t>
          </w:r>
          <w:r>
            <w:fldChar w:fldCharType="end"/>
          </w:r>
          <w:r>
            <w:fldChar w:fldCharType="end"/>
          </w:r>
        </w:p>
        <w:p>
          <w:pPr>
            <w:pStyle w:val="TOC1"/>
            <w:tabs>
              <w:tab w:val="right" w:leader="dot" w:pos="8306"/>
            </w:tabs>
          </w:pPr>
          <w:r>
            <w:fldChar w:fldCharType="begin"/>
          </w:r>
          <w:r>
            <w:instrText xml:space="preserve"> HYPERLINK \l _Toc11936 </w:instrText>
          </w:r>
          <w:r>
            <w:fldChar w:fldCharType="separate"/>
          </w:r>
          <w:r>
            <w:rPr>
              <w:rFonts w:hint="default"/>
              <w:lang w:val="en-US" w:eastAsia="zh-CN"/>
            </w:rPr>
            <w:t>14. 相关记录</w:t>
          </w:r>
          <w:r>
            <w:tab/>
          </w:r>
          <w:r>
            <w:fldChar w:fldCharType="begin"/>
          </w:r>
          <w:r>
            <w:instrText xml:space="preserve"> PAGEREF _Toc11936 \h </w:instrText>
          </w:r>
          <w:r>
            <w:fldChar w:fldCharType="separate"/>
          </w:r>
          <w:r>
            <w:t>17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_Toc4738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_Toc4738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_Toc187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角色与职责表</w:t>
      </w:r>
      <w:r>
        <w:tab/>
      </w:r>
      <w:r>
        <w:fldChar w:fldCharType="begin"/>
      </w:r>
      <w:r>
        <w:instrText xml:space="preserve"> PAGEREF _Toc187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_Toc15949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服务报告分类表</w:t>
      </w:r>
      <w:r>
        <w:tab/>
      </w:r>
      <w:r>
        <w:fldChar w:fldCharType="begin"/>
      </w:r>
      <w:r>
        <w:instrText xml:space="preserve"> PAGEREF _Toc15949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_Toc25364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日常运维报告内容要求表</w:t>
      </w:r>
      <w:r>
        <w:tab/>
      </w:r>
      <w:r>
        <w:fldChar w:fldCharType="begin"/>
      </w:r>
      <w:r>
        <w:instrText xml:space="preserve"> PAGEREF _Toc25364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_Toc12897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3 </w:t>
      </w:r>
      <w:r>
        <w:rPr>
          <w:rFonts w:hint="default"/>
          <w:lang w:val="en-US" w:eastAsia="zh-CN"/>
        </w:rPr>
        <w:t xml:space="preserve"> 服务级别报告内容要求表</w:t>
      </w:r>
      <w:r>
        <w:tab/>
      </w:r>
      <w:r>
        <w:fldChar w:fldCharType="begin"/>
      </w:r>
      <w:r>
        <w:instrText xml:space="preserve"> PAGEREF _Toc12897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_Toc31541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4 </w:t>
      </w:r>
      <w:r>
        <w:rPr>
          <w:rFonts w:hint="default"/>
          <w:lang w:val="en-US" w:eastAsia="zh-CN"/>
        </w:rPr>
        <w:t xml:space="preserve"> 专项报告内容要求表</w:t>
      </w:r>
      <w:r>
        <w:tab/>
      </w:r>
      <w:r>
        <w:fldChar w:fldCharType="begin"/>
      </w:r>
      <w:r>
        <w:instrText xml:space="preserve"> PAGEREF _Toc31541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_Toc8063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服务报告管理流程表</w:t>
      </w:r>
      <w:r>
        <w:tab/>
      </w:r>
      <w:r>
        <w:fldChar w:fldCharType="begin"/>
      </w:r>
      <w:r>
        <w:instrText xml:space="preserve"> PAGEREF _Toc8063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_Toc8722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default"/>
          <w:lang w:val="en-US" w:eastAsia="zh-CN"/>
        </w:rPr>
        <w:t xml:space="preserve"> 报告要素识别表</w:t>
      </w:r>
      <w:r>
        <w:tab/>
      </w:r>
      <w:r>
        <w:fldChar w:fldCharType="begin"/>
      </w:r>
      <w:r>
        <w:instrText xml:space="preserve"> PAGEREF _Toc8722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_Toc22885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服务报告分发矩阵表</w:t>
      </w:r>
      <w:r>
        <w:tab/>
      </w:r>
      <w:r>
        <w:fldChar w:fldCharType="begin"/>
      </w:r>
      <w:r>
        <w:instrText xml:space="preserve"> PAGEREF _Toc22885 \h </w:instrText>
      </w:r>
      <w:r>
        <w:fldChar w:fldCharType="separate"/>
      </w:r>
      <w:r>
        <w:t>14</w:t>
      </w:r>
      <w:r>
        <w:fldChar w:fldCharType="end"/>
      </w:r>
      <w:r>
        <w:fldChar w:fldCharType="end"/>
      </w:r>
    </w:p>
    <w:p>
      <w:pPr>
        <w:pStyle w:val="TableofFigures"/>
        <w:tabs>
          <w:tab w:val="right" w:leader="dot" w:pos="8306"/>
        </w:tabs>
      </w:pPr>
      <w:r>
        <w:fldChar w:fldCharType="begin"/>
      </w:r>
      <w:r>
        <w:instrText xml:space="preserve"> HYPERLINK \l _Toc5484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服务报告评审表</w:t>
      </w:r>
      <w:r>
        <w:tab/>
      </w:r>
      <w:r>
        <w:fldChar w:fldCharType="begin"/>
      </w:r>
      <w:r>
        <w:instrText xml:space="preserve"> PAGEREF _Toc5484 \h </w:instrText>
      </w:r>
      <w:r>
        <w:fldChar w:fldCharType="separate"/>
      </w:r>
      <w:r>
        <w:t>15</w:t>
      </w:r>
      <w:r>
        <w:fldChar w:fldCharType="end"/>
      </w:r>
      <w:r>
        <w:fldChar w:fldCharType="end"/>
      </w:r>
    </w:p>
    <w:p>
      <w:pPr>
        <w:pStyle w:val="TableofFigures"/>
        <w:tabs>
          <w:tab w:val="right" w:leader="dot" w:pos="8306"/>
        </w:tabs>
      </w:pPr>
      <w:r>
        <w:fldChar w:fldCharType="begin"/>
      </w:r>
      <w:r>
        <w:instrText xml:space="preserve"> HYPERLINK \l _Toc14589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default"/>
          <w:lang w:val="en-US" w:eastAsia="zh-CN"/>
        </w:rPr>
        <w:t xml:space="preserve"> 过程质量控制流程表</w:t>
      </w:r>
      <w:r>
        <w:tab/>
      </w:r>
      <w:r>
        <w:fldChar w:fldCharType="begin"/>
      </w:r>
      <w:r>
        <w:instrText xml:space="preserve"> PAGEREF _Toc14589 \h </w:instrText>
      </w:r>
      <w:r>
        <w:fldChar w:fldCharType="separate"/>
      </w:r>
      <w:r>
        <w:t>16</w:t>
      </w:r>
      <w:r>
        <w:fldChar w:fldCharType="end"/>
      </w:r>
      <w:r>
        <w:fldChar w:fldCharType="end"/>
      </w:r>
    </w:p>
    <w:p>
      <w:pPr>
        <w:pStyle w:val="TableofFigures"/>
        <w:tabs>
          <w:tab w:val="right" w:leader="dot" w:pos="8306"/>
        </w:tabs>
      </w:pPr>
      <w:r>
        <w:fldChar w:fldCharType="begin"/>
      </w:r>
      <w:r>
        <w:instrText xml:space="preserve"> HYPERLINK \l _Toc2980 </w:instrText>
      </w:r>
      <w:r>
        <w:fldChar w:fldCharType="separate"/>
      </w:r>
      <w:r>
        <w:rPr>
          <w:rFonts w:hint="eastAsia"/>
          <w:lang w:val="en-US" w:eastAsia="zh-CN"/>
        </w:rPr>
        <w:t xml:space="preserve">表 </w:t>
      </w:r>
      <w:r>
        <w:rPr>
          <w:rFonts w:hint="default"/>
          <w:lang w:val="en-US" w:eastAsia="zh-CN"/>
        </w:rPr>
        <w:t>12</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_Toc2980 \h </w:instrText>
      </w:r>
      <w:r>
        <w:fldChar w:fldCharType="separate"/>
      </w:r>
      <w:r>
        <w:t>16</w:t>
      </w:r>
      <w:r>
        <w:fldChar w:fldCharType="end"/>
      </w:r>
      <w:r>
        <w:fldChar w:fldCharType="end"/>
      </w:r>
    </w:p>
    <w:p>
      <w:pPr>
        <w:pStyle w:val="TableofFigures"/>
        <w:tabs>
          <w:tab w:val="right" w:leader="dot" w:pos="8306"/>
        </w:tabs>
      </w:pPr>
      <w:r>
        <w:fldChar w:fldCharType="begin"/>
      </w:r>
      <w:r>
        <w:instrText xml:space="preserve"> HYPERLINK \l _Toc28373 </w:instrText>
      </w:r>
      <w:r>
        <w:fldChar w:fldCharType="separate"/>
      </w:r>
      <w:r>
        <w:rPr>
          <w:rFonts w:hint="eastAsia"/>
          <w:lang w:val="en-US" w:eastAsia="zh-CN"/>
        </w:rPr>
        <w:t xml:space="preserve">表 </w:t>
      </w:r>
      <w:r>
        <w:rPr>
          <w:rFonts w:hint="default"/>
          <w:lang w:val="en-US" w:eastAsia="zh-CN"/>
        </w:rPr>
        <w:t>14</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_Toc28373 \h </w:instrText>
      </w:r>
      <w:r>
        <w:fldChar w:fldCharType="separate"/>
      </w:r>
      <w:r>
        <w:t>17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_Toc10142 </w:instrText>
      </w:r>
      <w: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1 </w:t>
      </w:r>
      <w:r>
        <w:rPr>
          <w:rFonts w:hint="default"/>
          <w:lang w:val="en-US" w:eastAsia="zh-CN"/>
        </w:rPr>
        <w:t xml:space="preserve"> 服务报告管理流程图</w:t>
      </w:r>
      <w:r>
        <w:tab/>
      </w:r>
      <w:r>
        <w:fldChar w:fldCharType="begin"/>
      </w:r>
      <w:r>
        <w:instrText xml:space="preserve"> PAGEREF _Toc10142 \h </w:instrText>
      </w:r>
      <w:r>
        <w:fldChar w:fldCharType="separate"/>
      </w:r>
      <w:r>
        <w:t>11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26587"/>
      <w:r>
        <w:rPr>
          <w:rFonts w:hint="default"/>
          <w:lang w:val="en-US" w:eastAsia="zh-CN"/>
        </w:rPr>
        <w:t>目的</w:t>
      </w:r>
      <w:bookmarkEnd w:id="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本制度旨在规范天津图云智能科技有限公司（以下简称“公司”）运维服务报告的编制、审核、提交和归档管理，确保服务报告的及时性、准确性和完整性，为有效沟通和制定决策提供可靠的依据。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通过建立标准化的服务报告管理机制，实现以下目标：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评价服务绩效：根据服务级别协议（SLA）评价和计量服务达成情况；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支持决策制定：为管理层和客户提供准确的服务数据和分析；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促进持续改进：通过报告发现问题和改进机会；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满足沟通需求：满足客户和内部管理者对服务信息的需求；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记录服务过程：形成可追溯的服务历史记录。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说明：本制度中的“年度”指公司运维服务管理周期，即每年7月1日至次年6月30日。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30227"/>
      <w:r>
        <w:rPr>
          <w:rFonts w:hint="default"/>
          <w:lang w:val="en-US" w:eastAsia="zh-CN"/>
        </w:rPr>
        <w:t>范围</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本制度适用于公司运维服务报告的全过程管理，覆盖以下范围：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报告类型：日常运维报告、服务级别报告、专项报告等；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报告周期：周报、月报、季报、年报、按需报告；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涉及部门：运维部、技术中心、质量部、综合管理部；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报告对象：内部管理者、客户、管理层。</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1281"/>
      <w:r>
        <w:rPr>
          <w:rFonts w:hint="default"/>
          <w:lang w:val="en-US" w:eastAsia="zh-CN"/>
        </w:rPr>
        <w:t>术语与定义</w:t>
      </w:r>
      <w:bookmarkEnd w:id="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 w:name="_Toc4738"/>
      <w:r>
        <w:rPr>
          <w:rFonts w:hint="default"/>
          <w:lang w:val="en-US" w:eastAsia="zh-CN"/>
        </w:rPr>
        <w:t xml:space="preserve"> 术语定义表</w:t>
      </w:r>
      <w:bookmarkEnd w:id="4"/>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53"/>
        <w:gridCol w:w="716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53"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16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根据服务级别协议或管理要求，定期或不定期编制的服务执行情况报告。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反应性报告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报告已经发生的事件、事故或服务执行现状的报告。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前置性报告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对重要事件进行预警，提前采取预防性措施的报告（如即将发生的违反SLA行为预警）。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预先计划报告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报告计划中的活动，如维护计划、演练计划等。</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服务级别报告</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重点反映SLA达成情况的周期性报告。</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报告要素</w:t>
            </w:r>
          </w:p>
        </w:tc>
        <w:tc>
          <w:tcPr>
            <w:tcW w:w="716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服务报告中需要包含的数据和度量指标。</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5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报告分发矩阵</w:t>
            </w:r>
          </w:p>
        </w:tc>
        <w:tc>
          <w:tcPr>
            <w:tcW w:w="716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明确各类报告的分发对象、分发方式和分发时间的对照表。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2700"/>
      <w:r>
        <w:rPr>
          <w:rFonts w:hint="default"/>
          <w:lang w:val="en-US" w:eastAsia="zh-CN"/>
        </w:rPr>
        <w:t>角色与职责</w:t>
      </w:r>
      <w:bookmarkEnd w:id="5"/>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 w:name="_Toc187"/>
      <w:r>
        <w:rPr>
          <w:rFonts w:hint="default"/>
          <w:lang w:val="en-US" w:eastAsia="zh-CN"/>
        </w:rPr>
        <w:t xml:space="preserve"> 角色与职责表</w:t>
      </w:r>
      <w:bookmarkEnd w:id="6"/>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31"/>
        <w:gridCol w:w="2620"/>
        <w:gridCol w:w="4347"/>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对应岗位</w:t>
            </w:r>
          </w:p>
        </w:tc>
        <w:tc>
          <w:tcPr>
            <w:tcW w:w="434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服务报告过程负责人</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负责本制度的制定、解释和修订；</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确定服务报告管理过程的衡量指标；</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总体上管理和监控服务报告过程；</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建立服务报告管理过程的实施、评估和持续优化机制；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对所负责的服务报告进行审批；</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组织协调相关人员根据报告结果进行回顾、差距和趋势分析。</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服务报告执行人</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收集汇总编制报告所需的信息；</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按照固定格式和周期编制服务报告；</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服务报告管理过程的回顾和改进建议；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报告列表结构的设计和维护；</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服务报告的分发、存档和版本控制；</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6. 定期审计服务报告的准确性和真实性。</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运维工程师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硬件运维工程师、软件运维工程师</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根据运维服务情况，按时采集并提交运维数据。</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技术中心</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技术中心经理、技术支持工程师</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提供技术类报告所需的技术数据；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参与技术类报告的评审；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协助分析技术问题。</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质量部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质量部经理、质量部专员</w:t>
            </w:r>
          </w:p>
        </w:tc>
        <w:tc>
          <w:tcPr>
            <w:tcW w:w="43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确保服务报告管理过程有效、正确地执行；</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监督服务报告的准确性和真实性；</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当过程不适应公司情况时，进行分析、找出缺陷、进行改进；</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参与服务报告的评审。</w:t>
            </w:r>
          </w:p>
        </w:tc>
      </w:tr>
      <w:tr>
        <w:tblPrEx>
          <w:tblW w:w="8498" w:type="dxa"/>
          <w:jc w:val="center"/>
          <w:shd w:val="clear" w:color="auto" w:fill="auto"/>
          <w:tblCellMar>
            <w:top w:w="15" w:type="dxa"/>
            <w:left w:w="15" w:type="dxa"/>
            <w:bottom w:w="15" w:type="dxa"/>
            <w:right w:w="15" w:type="dxa"/>
          </w:tblCellMar>
        </w:tblPrEx>
        <w:trPr>
          <w:trHeight w:val="0"/>
          <w:jc w:val="center"/>
        </w:trPr>
        <w:tc>
          <w:tcPr>
            <w:tcW w:w="153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服务台</w:t>
            </w:r>
          </w:p>
        </w:tc>
        <w:tc>
          <w:tcPr>
            <w:tcW w:w="26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434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提供事件记录、满意度回访等数据。</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3610"/>
      <w:r>
        <w:rPr>
          <w:rFonts w:hint="default"/>
          <w:lang w:val="en-US" w:eastAsia="zh-CN"/>
        </w:rPr>
        <w:t>服务报告管理流程与其他流程的关系</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服务报告管理流程并非孤立存在，它与公司运维服务管理体系中的其他核心流程密切相关，共同构成完整的服务管理闭环。服务报告既是各流程执行结果的体现，也为各流程的改进提供输入。</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7966"/>
      <w:r>
        <w:rPr>
          <w:rFonts w:hint="default"/>
          <w:lang w:val="en-US" w:eastAsia="zh-CN"/>
        </w:rPr>
        <w:t>与服务级别管理的关系</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与服务级别管理流程相互依存。服务级别管理流程负责定义服务级别协议（SLA）中的各项服务指标，而服务报告管理流程则通过定期编制的《服务级别报告》，真实反映这些指标的达成情况。服务报告中的SLA达成数据为服务级别评审会议提供关键输入，帮助识别服务差距，推动服务级别的持续优化。同时，服务级别协议的变更也会直接影响服务报告的内容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3942"/>
      <w:r>
        <w:rPr>
          <w:rFonts w:hint="default"/>
          <w:lang w:val="en-US" w:eastAsia="zh-CN"/>
        </w:rPr>
        <w:t>与事件管理的关系</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管理流程是服务报告的重要数据来源之一。事件管理过程中记录的事件数量、分类分布、优先级统计、响应时间、解决时间等数据，经过汇总分析后成为服务报告中事件统计模块的核心内容。服务报告通过对事件数据的趋势分析，可以发现事件高发领域，为事件管理的优化提供方向。同时，重大事件的处理结果也会在服务报告的“重大事件信息”部分进行专项说明。</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2658"/>
      <w:r>
        <w:rPr>
          <w:rFonts w:hint="default"/>
          <w:lang w:val="en-US" w:eastAsia="zh-CN"/>
        </w:rPr>
        <w:t>与问题管理的关系</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管理流程为服务报告提供问题分析结果和已知错误信息。服务报告中的问题统计、根本原因分析、问题解决情况等内容，均来源于问题管理流程的记录。问题管理通过对重复发生的事件进行根因分析，形成的分析结论和改进建议，成为服务报告中“未达标项分析”和“改进建议”的重要输入。服务报告发布后，其中识别的改进项也可能触发新问题的管理流程。</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9317"/>
      <w:r>
        <w:rPr>
          <w:rFonts w:hint="default"/>
          <w:lang w:val="en-US" w:eastAsia="zh-CN"/>
        </w:rPr>
        <w:t>与变更管理的关系</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流程记录的所有变更信息，包括变更数量、变更类型分布、变更成功率、变更失败回退情况等，都是服务报告中变更统计模块的基础数据。服务报告通过对变更数据的分析，可以评估变更管理的整体效果，发现变更流程中存在的风险。重大变更的实施情况也需在服务报告中进行说明，确保客户和管理层了解服务环境的变化。</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9094"/>
      <w:r>
        <w:rPr>
          <w:rFonts w:hint="default"/>
          <w:lang w:val="en-US" w:eastAsia="zh-CN"/>
        </w:rPr>
        <w:t>与配置管理的关系</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置管理流程提供的配置项信息、配置审计结果、配置变更记录等数据，为服务报告中的资源配置分析提供依据。当服务报告中识别出因配置不当导致的问题时，可触发配置管理流程进行优化。同时，服务报告也可反映配置管理流程的执行效果，如配置审计的完成情况、配置数据的准确性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6821"/>
      <w:r>
        <w:rPr>
          <w:rFonts w:hint="default"/>
          <w:lang w:val="en-US" w:eastAsia="zh-CN"/>
        </w:rPr>
        <w:t>与能力管理的关系</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管理流程负责规划和管理人员、技术、资源等运维能力，而服务报告中反映的工作量特征、服务绩效趋势、问题发生规律等信息，为能力管理提供重要的输入数据。服务报告可以帮助能力管理流程识别能力短板，预判未来能力需求，从而制定更加精准的能力规划。同时，能力管理的改进措施落实情况也需在后续服务报告中进行跟踪和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516"/>
      <w:r>
        <w:rPr>
          <w:rFonts w:hint="default"/>
          <w:lang w:val="en-US" w:eastAsia="zh-CN"/>
        </w:rPr>
        <w:t>与应急管理的关系</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流程处理重大事件和突发情况的全过程记录，是服务报告中“重大事件信息”部分的直接来源。应急事件的处理结果、根本原因分析、改进措施等，都需要在服务报告中进行详细说明。服务报告通过对应急事件的复盘分析，可以帮助应急管理流程持续优化应急预案，提升应急响应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9969"/>
      <w:r>
        <w:rPr>
          <w:rFonts w:hint="default"/>
          <w:lang w:val="en-US" w:eastAsia="zh-CN"/>
        </w:rPr>
        <w:t>与满意度管理的关系</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意度管理流程定期开展的客户满意度调查结果，是服务报告中客户满意度模块的核心内容。服务报告需要分析满意度得分的变化趋势、投诉问题的处理情况、客户反馈的改进建议等。同时，服务报告本身的质量和及时性也会影响客户对服务的整体满意度评价。</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6891"/>
      <w:r>
        <w:rPr>
          <w:rFonts w:hint="default"/>
          <w:lang w:val="en-US" w:eastAsia="zh-CN"/>
        </w:rPr>
        <w:t>与质量管理的关系</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依据服务报告中的数据分析，对服务执行过程进行质量监督。服务报告中反映的未达标项、客户投诉、问题分析等内容，是质量改进的重要输入。质量部通过定期评审服务报告的质量，确保报告的准确性和完整性，并将报告中发现的问题纳入质量改进流程进行跟踪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7047"/>
      <w:r>
        <w:rPr>
          <w:rFonts w:hint="default"/>
          <w:lang w:val="en-US" w:eastAsia="zh-CN"/>
        </w:rPr>
        <w:t>与持续改进的关系</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管理流程与持续改进流程形成闭环。服务报告中识别的改进机会、未达标项分析、趋势预警等信息，是触发持续改进流程的重要来源。通过《服务改进计划》的制定和实施，改进措施的效果将在后续服务报告中进行验证和评估，实现服务质量的螺旋式上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5878"/>
      <w:r>
        <w:rPr>
          <w:rFonts w:hint="default"/>
          <w:lang w:val="en-US" w:eastAsia="zh-CN"/>
        </w:rPr>
        <w:t>服务报告分类与内容</w:t>
      </w:r>
      <w:bookmarkEnd w:id="1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5521"/>
      <w:r>
        <w:rPr>
          <w:rFonts w:hint="default"/>
          <w:lang w:val="en-US" w:eastAsia="zh-CN"/>
        </w:rPr>
        <w:t>服务报告分类</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根据报告周期、内容和用途，服务报告分为以下类型：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15949"/>
      <w:r>
        <w:rPr>
          <w:rFonts w:hint="default"/>
          <w:lang w:val="en-US" w:eastAsia="zh-CN"/>
        </w:rPr>
        <w:t xml:space="preserve"> 服务报告分类表</w:t>
      </w:r>
      <w:bookmarkEnd w:id="20"/>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10"/>
        <w:gridCol w:w="1392"/>
        <w:gridCol w:w="3890"/>
        <w:gridCol w:w="160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报告周期</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主要用途</w:t>
            </w:r>
          </w:p>
        </w:tc>
        <w:tc>
          <w:tcPr>
            <w:tcW w:w="160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日常运维报告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每周</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内部管理，跟踪日常运维情况</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向客户汇报SLA达成情况</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季度服务报告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每季度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阶段性服务总结和分析</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年度服务报告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年度服务总结和下一年度规划</w:t>
            </w:r>
          </w:p>
        </w:tc>
        <w:tc>
          <w:tcPr>
            <w:tcW w:w="160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61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专项报告</w:t>
            </w:r>
          </w:p>
        </w:tc>
        <w:tc>
          <w:tcPr>
            <w:tcW w:w="139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按需</w:t>
            </w:r>
          </w:p>
        </w:tc>
        <w:tc>
          <w:tcPr>
            <w:tcW w:w="389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重大事件、专项改进、项目验收等</w:t>
            </w:r>
          </w:p>
        </w:tc>
        <w:tc>
          <w:tcPr>
            <w:tcW w:w="160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9702"/>
      <w:r>
        <w:rPr>
          <w:rFonts w:hint="default"/>
          <w:lang w:val="en-US" w:eastAsia="zh-CN"/>
        </w:rPr>
        <w:t>服务报告内容要求</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各类服务报告的内容要求如下，报告编制人员应根据报告类型选择相应的内容模块，确保报告的完整性和针对性。</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2" w:name="_Toc25364"/>
      <w:r>
        <w:rPr>
          <w:rFonts w:hint="default"/>
          <w:lang w:val="en-US" w:eastAsia="zh-CN"/>
        </w:rPr>
        <w:t xml:space="preserve"> 日常运维报告内容要求表</w:t>
      </w:r>
      <w:bookmarkEnd w:id="22"/>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982"/>
        <w:gridCol w:w="5128"/>
        <w:gridCol w:w="138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内容模块</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具体要求</w:t>
            </w:r>
          </w:p>
        </w:tc>
        <w:tc>
          <w:tcPr>
            <w:tcW w:w="138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数据来源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报告基本信息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报告周期、报告时间、报告人、审核人</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事件统计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事件总数、按分类统计、按优先级统计、趋势分析</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问题统计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问题总数、已解决问题数、未解决问题数、已知错误数</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变更统计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变更总数、变更类型分布、变更成功率</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变更管理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重点工作完成情况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本周计划工作完成情况、下周工作计划</w:t>
            </w:r>
          </w:p>
        </w:tc>
        <w:tc>
          <w:tcPr>
            <w:tcW w:w="138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98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存在问题及改进建议</w:t>
            </w:r>
          </w:p>
        </w:tc>
        <w:tc>
          <w:tcPr>
            <w:tcW w:w="512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本周发现的问题、改进建议</w:t>
            </w:r>
          </w:p>
        </w:tc>
        <w:tc>
          <w:tcPr>
            <w:tcW w:w="138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3" w:name="_Toc12897"/>
      <w:r>
        <w:rPr>
          <w:rFonts w:hint="default"/>
          <w:lang w:val="en-US" w:eastAsia="zh-CN"/>
        </w:rPr>
        <w:t xml:space="preserve"> 服务级别报告内容要求表</w:t>
      </w:r>
      <w:bookmarkEnd w:id="2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84"/>
        <w:gridCol w:w="4736"/>
        <w:gridCol w:w="197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内容模块</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具体要求</w:t>
            </w:r>
          </w:p>
        </w:tc>
        <w:tc>
          <w:tcPr>
            <w:tcW w:w="197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数据来源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报告基本信息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报告周期、客户名称、项目名称、报告人、审核人</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服务概况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本期服务总体情况、关键数据概览</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各管理流程</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SLA达成情况</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与服务级别目标相对应的绩效，各指标达成率统计</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未达标项分析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未达标的SLA项、原因分析、改进措施</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重大事件信息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重大事件列表、影响分析、处理结果</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事件管理、应急管理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工作量特征</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工作量统计、周期性变化趋势</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趋势信息</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事件趋势、问题趋势、工作量趋势分析</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各管理流程</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客户满意度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满意度调查结果、投诉分析</w:t>
            </w:r>
          </w:p>
        </w:tc>
        <w:tc>
          <w:tcPr>
            <w:tcW w:w="197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满意度管理</w:t>
            </w:r>
          </w:p>
        </w:tc>
      </w:tr>
      <w:tr>
        <w:tblPrEx>
          <w:tblW w:w="8495" w:type="dxa"/>
          <w:jc w:val="center"/>
          <w:shd w:val="clear" w:color="auto" w:fill="auto"/>
          <w:tblCellMar>
            <w:top w:w="15" w:type="dxa"/>
            <w:left w:w="15" w:type="dxa"/>
            <w:bottom w:w="15" w:type="dxa"/>
            <w:right w:w="15" w:type="dxa"/>
          </w:tblCellMar>
        </w:tblPrEx>
        <w:trPr>
          <w:trHeight w:val="0"/>
          <w:jc w:val="center"/>
        </w:trPr>
        <w:tc>
          <w:tcPr>
            <w:tcW w:w="178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改进计划执行情况</w:t>
            </w:r>
          </w:p>
        </w:tc>
        <w:tc>
          <w:tcPr>
            <w:tcW w:w="473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上期改进计划完成情况、效果评估</w:t>
            </w:r>
          </w:p>
        </w:tc>
        <w:tc>
          <w:tcPr>
            <w:tcW w:w="197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改进管理</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4" w:name="_Toc31541"/>
      <w:r>
        <w:rPr>
          <w:rFonts w:hint="default"/>
          <w:lang w:val="en-US" w:eastAsia="zh-CN"/>
        </w:rPr>
        <w:t xml:space="preserve"> 专项报告内容要求表</w:t>
      </w:r>
      <w:bookmarkEnd w:id="24"/>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90"/>
        <w:gridCol w:w="5129"/>
        <w:gridCol w:w="1976"/>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内容要求</w:t>
            </w:r>
          </w:p>
        </w:tc>
        <w:tc>
          <w:tcPr>
            <w:tcW w:w="1976"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适用场景</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重大事件报告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事件描述、影响范围、处理过程、根本原因、改进措施</w:t>
            </w:r>
          </w:p>
        </w:tc>
        <w:tc>
          <w:tcPr>
            <w:tcW w:w="197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重大故障、安全事件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专项改进报告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改进背景、改进目标、改进措施、实施过程、效果验证</w:t>
            </w:r>
          </w:p>
        </w:tc>
        <w:tc>
          <w:tcPr>
            <w:tcW w:w="197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专项改进项目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项目验收报告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项目概况、交付内容、验收标准、验收结论、客户确认</w:t>
            </w:r>
          </w:p>
        </w:tc>
        <w:tc>
          <w:tcPr>
            <w:tcW w:w="197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运维项目验收</w:t>
            </w:r>
          </w:p>
        </w:tc>
      </w:tr>
      <w:tr>
        <w:tblPrEx>
          <w:tblW w:w="8495" w:type="dxa"/>
          <w:jc w:val="center"/>
          <w:shd w:val="clear" w:color="auto" w:fill="auto"/>
          <w:tblCellMar>
            <w:top w:w="15" w:type="dxa"/>
            <w:left w:w="15" w:type="dxa"/>
            <w:bottom w:w="15" w:type="dxa"/>
            <w:right w:w="15" w:type="dxa"/>
          </w:tblCellMar>
        </w:tblPrEx>
        <w:trPr>
          <w:trHeight w:val="0"/>
          <w:jc w:val="center"/>
        </w:trPr>
        <w:tc>
          <w:tcPr>
            <w:tcW w:w="139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应急演练报告</w:t>
            </w:r>
          </w:p>
        </w:tc>
        <w:tc>
          <w:tcPr>
            <w:tcW w:w="512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演练目的、演练过程、演练效果、存在问题、改进建议</w:t>
            </w:r>
          </w:p>
        </w:tc>
        <w:tc>
          <w:tcPr>
            <w:tcW w:w="197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应急演练</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5189"/>
      <w:r>
        <w:rPr>
          <w:rFonts w:hint="eastAsia"/>
          <w:lang w:val="en-US" w:eastAsia="zh-CN"/>
        </w:rPr>
        <w:t>服务报告编制原则</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在编制各类服务报告时，应遵循以下原则：</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针对性原则：根据报告类型和受众需求，选择合适的内容模块，避免内容冗余或缺失；</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准确性原则：确保数据来源可靠，统计口径一致，计算准确无误；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及时性原则：严格按照规定的周期和时间完成报告编制和提交；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可读性原则：使用规范的图表辅助说明，语言简洁明了，便于阅读和理解；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保密性原则：根据报告密级控制分发范围，保护客户和公司信息安全。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3853"/>
      <w:r>
        <w:rPr>
          <w:rFonts w:hint="default"/>
          <w:lang w:val="en-US" w:eastAsia="zh-CN"/>
        </w:rPr>
        <w:t>服务报告管理流程</w:t>
      </w:r>
      <w:bookmarkEnd w:id="2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7" w:name="_Toc10142"/>
      <w:r>
        <w:rPr>
          <w:rFonts w:hint="default"/>
          <w:lang w:val="en-US" w:eastAsia="zh-CN"/>
        </w:rPr>
        <w:t xml:space="preserve"> 服务报告管理流程图</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627.6pt;width:331.7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8" w:name="_Toc8063"/>
      <w:r>
        <w:rPr>
          <w:rFonts w:hint="default"/>
          <w:lang w:val="en-US" w:eastAsia="zh-CN"/>
        </w:rPr>
        <w:t xml:space="preserve"> 服务报告管理流程表</w:t>
      </w:r>
      <w:bookmarkEnd w:id="28"/>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802"/>
        <w:gridCol w:w="2920"/>
        <w:gridCol w:w="2920"/>
        <w:gridCol w:w="185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步骤</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活动名称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责任部门/角色</w:t>
            </w:r>
          </w:p>
        </w:tc>
        <w:tc>
          <w:tcPr>
            <w:tcW w:w="185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输出文件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识别报告要素</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报告要素清单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收集分析报告数据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运维工程师、服务台</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原始数据记录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编写服务报告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服务报告草案</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服务报告评审</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质量部组织</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评审记录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服务报告审批</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审批意见</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6</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提交/分发服务报告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正式服务报告</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归档保存</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综合管理部</w:t>
            </w:r>
          </w:p>
        </w:tc>
        <w:tc>
          <w:tcPr>
            <w:tcW w:w="185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归档记录</w:t>
            </w:r>
          </w:p>
        </w:tc>
      </w:tr>
      <w:tr>
        <w:tblPrEx>
          <w:tblW w:w="8495" w:type="dxa"/>
          <w:jc w:val="center"/>
          <w:shd w:val="clear" w:color="auto" w:fill="auto"/>
          <w:tblCellMar>
            <w:top w:w="15" w:type="dxa"/>
            <w:left w:w="15" w:type="dxa"/>
            <w:bottom w:w="15" w:type="dxa"/>
            <w:right w:w="15" w:type="dxa"/>
          </w:tblCellMar>
        </w:tblPrEx>
        <w:trPr>
          <w:trHeight w:val="0"/>
          <w:jc w:val="center"/>
        </w:trPr>
        <w:tc>
          <w:tcPr>
            <w:tcW w:w="80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w:t>
            </w:r>
          </w:p>
        </w:tc>
        <w:tc>
          <w:tcPr>
            <w:tcW w:w="29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服务报告回顾与改进</w:t>
            </w:r>
          </w:p>
        </w:tc>
        <w:tc>
          <w:tcPr>
            <w:tcW w:w="292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质量部、运维部</w:t>
            </w:r>
          </w:p>
        </w:tc>
        <w:tc>
          <w:tcPr>
            <w:tcW w:w="185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改进计划</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16762"/>
      <w:r>
        <w:rPr>
          <w:rFonts w:hint="default"/>
          <w:lang w:val="en-US" w:eastAsia="zh-CN"/>
        </w:rPr>
        <w:t>过程描述</w:t>
      </w:r>
      <w:bookmarkEnd w:id="2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25080"/>
      <w:r>
        <w:rPr>
          <w:rFonts w:hint="default"/>
          <w:lang w:val="en-US" w:eastAsia="zh-CN"/>
        </w:rPr>
        <w:t>识别报告要素</w:t>
      </w:r>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运维项目经理根据服务级别协议、客户要求和内部管理需求，识别服务报告中需要提供的数据和度量指标。</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1" w:name="_Toc8722"/>
      <w:r>
        <w:rPr>
          <w:rFonts w:hint="default"/>
          <w:lang w:val="en-US" w:eastAsia="zh-CN"/>
        </w:rPr>
        <w:t xml:space="preserve"> 报告要素识别表</w:t>
      </w:r>
      <w:bookmarkEnd w:id="31"/>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78"/>
        <w:gridCol w:w="2257"/>
        <w:gridCol w:w="4760"/>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识别依据</w:t>
            </w:r>
          </w:p>
        </w:tc>
        <w:tc>
          <w:tcPr>
            <w:tcW w:w="476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需识别的要素</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SLA协议、客户要求</w:t>
            </w:r>
          </w:p>
        </w:tc>
        <w:tc>
          <w:tcPr>
            <w:tcW w:w="47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SLA指标达成情况、响应时间、解决时间、可用性</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日常运维报告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内部管理需求</w:t>
            </w:r>
          </w:p>
        </w:tc>
        <w:tc>
          <w:tcPr>
            <w:tcW w:w="476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事件数量、问题数量、变更数量、工作量</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7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专项报告</w:t>
            </w:r>
          </w:p>
        </w:tc>
        <w:tc>
          <w:tcPr>
            <w:tcW w:w="225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特定事件/项目需求</w:t>
            </w:r>
          </w:p>
        </w:tc>
        <w:tc>
          <w:tcPr>
            <w:tcW w:w="476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事件描述、处理过程、改进措施、验收标准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30302"/>
      <w:r>
        <w:rPr>
          <w:rFonts w:hint="default"/>
          <w:lang w:val="en-US" w:eastAsia="zh-CN"/>
        </w:rPr>
        <w:t>收集分析报告数据</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运维工程师、服务台专员等数据提供方，在服务过程中及时收集识别出的数据和指标，并进行初步整理。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数据收集要求：</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及时性：按要求的频次及时收集数据；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准确性：确保数据来源可靠、记录准确；</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完整性：确保数据覆盖所有需要统计的项；</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可追溯性：原始数据应保留备查。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数据分析要求：</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趋势分析：对数据进行周期性对比，分析变化趋势；</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根因分析：对异常数据进行原因分析；</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关联分析：分析不同数据之间的关联关系；</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预测分析：基于历史数据预测未来趋势。</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16382"/>
      <w:r>
        <w:rPr>
          <w:rFonts w:hint="default"/>
          <w:lang w:val="en-US" w:eastAsia="zh-CN"/>
        </w:rPr>
        <w:t>编写服务报告</w:t>
      </w:r>
      <w:bookmarkEnd w:id="3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运维项目经理把经过分析的数据，按照公司统一规定的格式和形式，编写《服务报告》。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报告编写要求：</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格式统一：使用公司规定的报告模板；</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数据准确：确保数据统计口径一致、计算准确；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分析深入：不仅罗列数据，还要进行分析和解读；</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结论明确：提出明确的结论和改进建议；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可读性强：使用图表辅助说明，便于阅读。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21847"/>
      <w:r>
        <w:rPr>
          <w:rFonts w:hint="default"/>
          <w:lang w:val="en-US" w:eastAsia="zh-CN"/>
        </w:rPr>
        <w:t>服务报告评审</w:t>
      </w:r>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服务报告编制完成后，由质量部组织评审。评审内容包括：</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报告内容的完整性和准确性；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数据统计的正确性；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分析的合理性和深度；</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改进建议的可行性；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报告格式的规范性。</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评审通过后，提交运维部经理审批；评审不通过，返回修改。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27278"/>
      <w:r>
        <w:rPr>
          <w:rFonts w:hint="default"/>
          <w:lang w:val="en-US" w:eastAsia="zh-CN"/>
        </w:rPr>
        <w:t>服务报告审批</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运维部经理对服务报告进行审批，重点审核：</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报告是否满足客户和管理者需求；</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数据和结论是否可靠；</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改进建议是否合理。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遇特别重要的报告（如年度报告、重大事件报告），需提交总经理审核。</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26454"/>
      <w:r>
        <w:rPr>
          <w:rFonts w:hint="default"/>
          <w:lang w:val="en-US" w:eastAsia="zh-CN"/>
        </w:rPr>
        <w:t>提交/分发服务报告</w:t>
      </w:r>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经审批通过的服务报告，按照分发矩阵提交给相关对象。</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18217"/>
      <w:r>
        <w:rPr>
          <w:rFonts w:hint="default"/>
          <w:lang w:val="en-US" w:eastAsia="zh-CN"/>
        </w:rPr>
        <w:t>服务报告分发活动</w:t>
      </w:r>
      <w:bookmarkEnd w:id="3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17118"/>
      <w:r>
        <w:rPr>
          <w:rFonts w:hint="default"/>
          <w:lang w:val="en-US" w:eastAsia="zh-CN"/>
        </w:rPr>
        <w:t>服务报告分发矩阵</w:t>
      </w:r>
      <w:bookmarkEnd w:id="38"/>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9" w:name="_Toc22885"/>
      <w:r>
        <w:rPr>
          <w:rFonts w:hint="default"/>
          <w:lang w:val="en-US" w:eastAsia="zh-CN"/>
        </w:rPr>
        <w:t xml:space="preserve"> 服务报告分发矩阵表</w:t>
      </w:r>
      <w:bookmarkEnd w:id="3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12"/>
        <w:gridCol w:w="2537"/>
        <w:gridCol w:w="1601"/>
        <w:gridCol w:w="1762"/>
        <w:gridCol w:w="131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13"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报告类型</w:t>
            </w:r>
          </w:p>
        </w:tc>
        <w:tc>
          <w:tcPr>
            <w:tcW w:w="253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分发对象</w:t>
            </w:r>
          </w:p>
        </w:tc>
        <w:tc>
          <w:tcPr>
            <w:tcW w:w="160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分发方式</w:t>
            </w:r>
          </w:p>
        </w:tc>
        <w:tc>
          <w:tcPr>
            <w:tcW w:w="176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分发时限</w:t>
            </w:r>
          </w:p>
        </w:tc>
        <w:tc>
          <w:tcPr>
            <w:tcW w:w="131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日常运维报告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运维部经理、技术中心经理</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邮件、内部共享</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每周一12:00前</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客户、运维部经理、质量部经理</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邮件、正式发文</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周期结束后5个工作日内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季度服务报告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客户、管理层、质量部</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邮件、正式发文</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季度结束后10个工作日内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年度服务报告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客户、管理层、质量部、综合管理部</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正式发文、会议汇报</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年度结束后15个工作日内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重大事件报告</w:t>
            </w:r>
          </w:p>
        </w:tc>
        <w:tc>
          <w:tcPr>
            <w:tcW w:w="25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客户、管理层、质量部</w:t>
            </w:r>
          </w:p>
        </w:tc>
        <w:tc>
          <w:tcPr>
            <w:tcW w:w="160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邮件、专题会议</w:t>
            </w:r>
          </w:p>
        </w:tc>
        <w:tc>
          <w:tcPr>
            <w:tcW w:w="176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事件处理后3个工作日内</w:t>
            </w:r>
          </w:p>
        </w:tc>
        <w:tc>
          <w:tcPr>
            <w:tcW w:w="13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1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专项改进报告</w:t>
            </w:r>
          </w:p>
        </w:tc>
        <w:tc>
          <w:tcPr>
            <w:tcW w:w="253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管理层、质量部</w:t>
            </w:r>
          </w:p>
        </w:tc>
        <w:tc>
          <w:tcPr>
            <w:tcW w:w="160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邮件、会议汇报</w:t>
            </w:r>
          </w:p>
        </w:tc>
        <w:tc>
          <w:tcPr>
            <w:tcW w:w="176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改进完成后5个工作日内</w:t>
            </w:r>
          </w:p>
        </w:tc>
        <w:tc>
          <w:tcPr>
            <w:tcW w:w="131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0" w:name="_Toc25895"/>
      <w:r>
        <w:rPr>
          <w:rFonts w:hint="default"/>
          <w:lang w:val="en-US" w:eastAsia="zh-CN"/>
        </w:rPr>
        <w:t>分发要求</w:t>
      </w:r>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确认接收：重要报告应确认对方已接收；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保密要求：按保密级别控制分发范围；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版本控制：确保分发的是最终版本；</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反馈收集：收集接收方对报告的反馈意见。</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18752"/>
      <w:r>
        <w:rPr>
          <w:rFonts w:hint="default"/>
          <w:lang w:val="en-US" w:eastAsia="zh-CN"/>
        </w:rPr>
        <w:t>服务报告评审与改进</w:t>
      </w:r>
      <w:bookmarkEnd w:id="41"/>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23173"/>
      <w:r>
        <w:rPr>
          <w:rFonts w:hint="default"/>
          <w:lang w:val="en-US" w:eastAsia="zh-CN"/>
        </w:rPr>
        <w:t>定期评审</w:t>
      </w:r>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质量部每季度组织一次服务报告管理过程的评审，评审内容包括：</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服务报告的及时性、准确性和完整性；</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报告分发活动的有效性；</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接收方对报告的满意度；</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报告使用情况和对决策的支持效果；</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报告管理过程中存在的问题和改进机会。</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21170"/>
      <w:r>
        <w:rPr>
          <w:rFonts w:hint="default"/>
          <w:lang w:val="en-US" w:eastAsia="zh-CN"/>
        </w:rPr>
        <w:t>服务报告评审表</w:t>
      </w:r>
      <w:bookmarkEnd w:id="4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4" w:name="_Toc5484"/>
      <w:r>
        <w:rPr>
          <w:rFonts w:hint="default"/>
          <w:lang w:val="en-US" w:eastAsia="zh-CN"/>
        </w:rPr>
        <w:t xml:space="preserve"> 服务报告评审表</w:t>
      </w:r>
      <w:bookmarkEnd w:id="44"/>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67"/>
        <w:gridCol w:w="3788"/>
        <w:gridCol w:w="1905"/>
        <w:gridCol w:w="153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评审项目</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评审内容</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评分（1-5）</w:t>
            </w:r>
          </w:p>
        </w:tc>
        <w:tc>
          <w:tcPr>
            <w:tcW w:w="153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改进建议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及时性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报告是否按时提交和分发</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准确性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数据是否准确、计算是否正确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完整性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内容是否完整覆盖要求</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可读性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格式是否规范、图表是否清晰</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分析深度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分析是否深入、结论是否明确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改进导向</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是否提出可行的改进建议</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r>
      <w:tr>
        <w:tblPrEx>
          <w:tblW w:w="8495" w:type="dxa"/>
          <w:jc w:val="center"/>
          <w:shd w:val="clear" w:color="auto" w:fill="auto"/>
          <w:tblCellMar>
            <w:top w:w="15" w:type="dxa"/>
            <w:left w:w="15" w:type="dxa"/>
            <w:bottom w:w="15" w:type="dxa"/>
            <w:right w:w="15" w:type="dxa"/>
          </w:tblCellMar>
        </w:tblPrEx>
        <w:trPr>
          <w:trHeight w:val="0"/>
          <w:jc w:val="center"/>
        </w:trPr>
        <w:tc>
          <w:tcPr>
            <w:tcW w:w="126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客户反馈</w:t>
            </w:r>
          </w:p>
        </w:tc>
        <w:tc>
          <w:tcPr>
            <w:tcW w:w="378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客户对报告的满意度</w:t>
            </w:r>
          </w:p>
        </w:tc>
        <w:tc>
          <w:tcPr>
            <w:tcW w:w="190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c>
          <w:tcPr>
            <w:tcW w:w="1535" w:type="dxa"/>
            <w:tcBorders>
              <w:top w:val="single" w:sz="4" w:space="0" w:color="auto"/>
              <w:left w:val="single" w:sz="4" w:space="0" w:color="auto"/>
              <w:bottom w:val="single" w:sz="12" w:space="0" w:color="auto"/>
              <w:right w:val="single" w:sz="12" w:space="0" w:color="auto"/>
            </w:tcBorders>
            <w:shd w:val="clear" w:color="auto" w:fill="auto"/>
            <w:tcMar>
              <w:top w:w="-1" w:type="dxa"/>
              <w:left w:w="-1" w:type="dxa"/>
              <w:bottom w:w="-1" w:type="dxa"/>
              <w:right w:w="-1" w:type="dxa"/>
            </w:tcMar>
            <w:vAlign w:val="center"/>
          </w:tcPr>
          <w:p>
            <w:pPr>
              <w:snapToGrid w:val="0"/>
              <w:ind w:left="0" w:right="0" w:firstLine="0" w:leftChars="0" w:rightChars="0" w:firstLineChars="0"/>
              <w:jc w:val="center"/>
              <w:rPr>
                <w:rFonts w:ascii="Segoe UI" w:eastAsia="Segoe UI" w:hAnsi="Segoe UI" w:cs="Segoe UI" w:hint="eastAsia"/>
                <w:i w:val="0"/>
                <w:iCs w:val="0"/>
                <w:caps w:val="0"/>
                <w:color w:val="0F1115"/>
                <w:spacing w:val="0"/>
                <w:sz w:val="18"/>
                <w:szCs w:val="19"/>
              </w:rPr>
            </w:pP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30760"/>
      <w:r>
        <w:rPr>
          <w:rFonts w:hint="default"/>
          <w:lang w:val="en-US" w:eastAsia="zh-CN"/>
        </w:rPr>
        <w:t>改进机制</w:t>
      </w:r>
      <w:bookmarkEnd w:id="4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根据评审结果，制定改进计划，纳入持续改进流程：</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识别改进项：从评审中识别需要改进的内容；</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制定改进计划：明确改进措施、责任人、完成时限；</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实施改进：落实改进措施；</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验证效果：评估改进效果；</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标准化：将成功的改进纳入制度规范。</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26624"/>
      <w:r>
        <w:rPr>
          <w:rFonts w:hint="default"/>
          <w:lang w:val="en-US" w:eastAsia="zh-CN"/>
        </w:rPr>
        <w:t>过程质量控制</w:t>
      </w:r>
      <w:bookmarkEnd w:id="46"/>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7" w:name="_Toc14589"/>
      <w:r>
        <w:rPr>
          <w:rFonts w:hint="default"/>
          <w:lang w:val="en-US" w:eastAsia="zh-CN"/>
        </w:rPr>
        <w:t xml:space="preserve"> 过程质量控制流程表</w:t>
      </w:r>
      <w:bookmarkEnd w:id="4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22"/>
        <w:gridCol w:w="1354"/>
        <w:gridCol w:w="3217"/>
        <w:gridCol w:w="1245"/>
        <w:gridCol w:w="98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22"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步骤</w:t>
            </w:r>
          </w:p>
        </w:tc>
        <w:tc>
          <w:tcPr>
            <w:tcW w:w="135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输入</w:t>
            </w:r>
          </w:p>
        </w:tc>
        <w:tc>
          <w:tcPr>
            <w:tcW w:w="321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步骤描述</w:t>
            </w:r>
          </w:p>
        </w:tc>
        <w:tc>
          <w:tcPr>
            <w:tcW w:w="1245"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c>
          <w:tcPr>
            <w:tcW w:w="98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负责人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2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1.现有过程评估</w:t>
            </w:r>
          </w:p>
        </w:tc>
        <w:tc>
          <w:tcPr>
            <w:tcW w:w="135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KPI报告、服务报告、服务改进计划</w:t>
            </w:r>
          </w:p>
        </w:tc>
        <w:tc>
          <w:tcPr>
            <w:tcW w:w="321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对服务报告过程的KPI完成情况进行分析；</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对客户及内部提出的与服务报告管理过程相关的问题、建议和改进计划进行讨论回顾；</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对服务报告管理过程正在进行的服务改进计划完成情况进行回顾。</w:t>
            </w:r>
          </w:p>
        </w:tc>
        <w:tc>
          <w:tcPr>
            <w:tcW w:w="1245"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改进项、回顾会议纪要</w:t>
            </w:r>
          </w:p>
        </w:tc>
        <w:tc>
          <w:tcPr>
            <w:tcW w:w="98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2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2.制定改进计划</w:t>
            </w:r>
          </w:p>
        </w:tc>
        <w:tc>
          <w:tcPr>
            <w:tcW w:w="135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改进项、回顾会议纪要</w:t>
            </w:r>
          </w:p>
        </w:tc>
        <w:tc>
          <w:tcPr>
            <w:tcW w:w="321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根据回顾结果制定改进计划，计划包括：改进项、需求、改进方案、改进计划周期、时间、特殊要素及收益、可能造成的影响、资源需求、测试和培训计划。</w:t>
            </w:r>
          </w:p>
        </w:tc>
        <w:tc>
          <w:tcPr>
            <w:tcW w:w="1245"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改进计划</w:t>
            </w:r>
          </w:p>
        </w:tc>
        <w:tc>
          <w:tcPr>
            <w:tcW w:w="98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2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3.审批改进计划</w:t>
            </w:r>
          </w:p>
        </w:tc>
        <w:tc>
          <w:tcPr>
            <w:tcW w:w="135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改进计划</w:t>
            </w:r>
          </w:p>
        </w:tc>
        <w:tc>
          <w:tcPr>
            <w:tcW w:w="321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对是否执行改进计划进行评估；</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根据已确认执行的改进计划提交变更请求；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依据变更管理过程进行审批。</w:t>
            </w:r>
          </w:p>
        </w:tc>
        <w:tc>
          <w:tcPr>
            <w:tcW w:w="1245"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审批后的改进计划、变更请求</w:t>
            </w:r>
          </w:p>
        </w:tc>
        <w:tc>
          <w:tcPr>
            <w:tcW w:w="98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质量部、运维部、管理层</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2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4.执行改进计划</w:t>
            </w:r>
          </w:p>
        </w:tc>
        <w:tc>
          <w:tcPr>
            <w:tcW w:w="135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被批准的改进计划和变更请求</w:t>
            </w:r>
          </w:p>
        </w:tc>
        <w:tc>
          <w:tcPr>
            <w:tcW w:w="321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调动资源组织相关人员依据计划执行被批准的改进计划和变更请求。</w:t>
            </w:r>
          </w:p>
        </w:tc>
        <w:tc>
          <w:tcPr>
            <w:tcW w:w="1245"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实施后的改进计划、改进效果</w:t>
            </w:r>
          </w:p>
        </w:tc>
        <w:tc>
          <w:tcPr>
            <w:tcW w:w="98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2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5.回顾</w:t>
            </w:r>
          </w:p>
        </w:tc>
        <w:tc>
          <w:tcPr>
            <w:tcW w:w="135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实施后的改进计划、改进结果</w:t>
            </w:r>
          </w:p>
        </w:tc>
        <w:tc>
          <w:tcPr>
            <w:tcW w:w="321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对改进后的结果进行回顾，评估改进计划是否成功，存在哪些待改进项。依据PDCA方法论再次执行步骤1，对过程进行持续改进。</w:t>
            </w:r>
          </w:p>
        </w:tc>
        <w:tc>
          <w:tcPr>
            <w:tcW w:w="124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回顾结果、关闭的变更请求和服务改进计划</w:t>
            </w:r>
          </w:p>
        </w:tc>
        <w:tc>
          <w:tcPr>
            <w:tcW w:w="98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质量部、运维部</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6461"/>
      <w:r>
        <w:rPr>
          <w:rFonts w:hint="default"/>
          <w:lang w:val="en-US" w:eastAsia="zh-CN"/>
        </w:rPr>
        <w:t>KPI指标</w:t>
      </w:r>
      <w:bookmarkEnd w:id="48"/>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2980"/>
      <w:r>
        <w:rPr>
          <w:rFonts w:hint="default"/>
          <w:lang w:val="en-US" w:eastAsia="zh-CN"/>
        </w:rPr>
        <w:t xml:space="preserve"> KPI指标表</w:t>
      </w:r>
      <w:bookmarkEnd w:id="4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383"/>
        <w:gridCol w:w="3804"/>
        <w:gridCol w:w="1008"/>
        <w:gridCol w:w="132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383"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bookmarkStart w:id="50" w:name="_Toc24298"/>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bookmarkStart w:id="51" w:name="_GoBack"/>
            <w:bookmarkEnd w:id="51"/>
          </w:p>
        </w:tc>
        <w:tc>
          <w:tcPr>
            <w:tcW w:w="3804"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100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32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2383"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服务报告交付及时率</w:t>
            </w:r>
          </w:p>
        </w:tc>
        <w:tc>
          <w:tcPr>
            <w:tcW w:w="3804"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（按时提交的服务报告数量 / 应提交服务报告总数量）×100%</w:t>
            </w:r>
          </w:p>
        </w:tc>
        <w:tc>
          <w:tcPr>
            <w:tcW w:w="100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≥95%</w:t>
            </w:r>
          </w:p>
        </w:tc>
        <w:tc>
          <w:tcPr>
            <w:tcW w:w="132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238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服务报告准确率</w:t>
            </w:r>
          </w:p>
        </w:tc>
        <w:tc>
          <w:tcPr>
            <w:tcW w:w="380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（数据准确的服务报告数量 / 服务报告总数量）×100%</w:t>
            </w:r>
          </w:p>
        </w:tc>
        <w:tc>
          <w:tcPr>
            <w:tcW w:w="100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≥98%</w:t>
            </w:r>
          </w:p>
        </w:tc>
        <w:tc>
          <w:tcPr>
            <w:tcW w:w="132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a1"/>
        <w:bidi w:val="0"/>
        <w:rPr>
          <w:rFonts w:hint="default"/>
          <w:lang w:val="en-US" w:eastAsia="zh-CN"/>
        </w:rPr>
      </w:pPr>
    </w:p>
    <w:p>
      <w:pPr>
        <w:pStyle w:val="a1"/>
        <w:bidi w:val="0"/>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相关文件</w:t>
      </w:r>
      <w:bookmarkEnd w:id="50"/>
    </w:p>
    <w:p>
      <w:pPr>
        <w:pStyle w:val="a1"/>
        <w:numPr>
          <w:ilvl w:val="0"/>
          <w:numId w:val="9"/>
        </w:numPr>
        <w:ind w:left="425" w:hanging="425" w:leftChars="0" w:firstLineChars="0"/>
        <w:rPr>
          <w:rFonts w:hint="default"/>
          <w:lang w:val="en-US" w:eastAsia="zh-CN"/>
        </w:rPr>
      </w:pPr>
      <w:r>
        <w:rPr>
          <w:rFonts w:hint="default"/>
          <w:lang w:val="en-US" w:eastAsia="zh-CN"/>
        </w:rPr>
        <w:t>《服务级别管理制度》</w:t>
      </w:r>
      <w:r>
        <w:rPr>
          <w:rFonts w:hint="default"/>
          <w:lang w:val="en-US" w:eastAsia="zh-CN"/>
        </w:rPr>
        <w:tab/>
      </w:r>
      <w:r>
        <w:rPr>
          <w:rFonts w:hint="default"/>
          <w:lang w:val="en-US" w:eastAsia="zh-CN"/>
        </w:rPr>
        <w:t>TJTY-ITSS-0602</w:t>
      </w:r>
    </w:p>
    <w:p>
      <w:pPr>
        <w:pStyle w:val="a1"/>
        <w:numPr>
          <w:ilvl w:val="0"/>
          <w:numId w:val="9"/>
        </w:numPr>
        <w:ind w:left="425" w:hanging="425" w:leftChars="0" w:firstLineChars="0"/>
        <w:rPr>
          <w:rFonts w:hint="default"/>
          <w:lang w:val="en-US" w:eastAsia="zh-CN"/>
        </w:rPr>
      </w:pPr>
      <w:r>
        <w:rPr>
          <w:rFonts w:hint="default"/>
          <w:lang w:val="en-US" w:eastAsia="zh-CN"/>
        </w:rPr>
        <w:t>《事件管理制度》</w:t>
      </w:r>
      <w:r>
        <w:rPr>
          <w:rFonts w:hint="default"/>
          <w:lang w:val="en-US" w:eastAsia="zh-CN"/>
        </w:rPr>
        <w:tab/>
      </w:r>
      <w:r>
        <w:rPr>
          <w:rFonts w:hint="default"/>
          <w:lang w:val="en-US" w:eastAsia="zh-CN"/>
        </w:rPr>
        <w:t>TJTY-ITSS-0803</w:t>
      </w:r>
    </w:p>
    <w:p>
      <w:pPr>
        <w:pStyle w:val="a1"/>
        <w:numPr>
          <w:ilvl w:val="0"/>
          <w:numId w:val="9"/>
        </w:numPr>
        <w:ind w:left="425" w:hanging="425" w:leftChars="0" w:firstLineChars="0"/>
        <w:rPr>
          <w:rFonts w:hint="default"/>
          <w:lang w:val="en-US" w:eastAsia="zh-CN"/>
        </w:rPr>
      </w:pPr>
      <w:r>
        <w:rPr>
          <w:rFonts w:hint="default"/>
          <w:lang w:val="en-US" w:eastAsia="zh-CN"/>
        </w:rPr>
        <w:t>《问题管理制度》</w:t>
      </w:r>
      <w:r>
        <w:rPr>
          <w:rFonts w:hint="default"/>
          <w:lang w:val="en-US" w:eastAsia="zh-CN"/>
        </w:rPr>
        <w:tab/>
      </w:r>
      <w:r>
        <w:rPr>
          <w:rFonts w:hint="default"/>
          <w:lang w:val="en-US" w:eastAsia="zh-CN"/>
        </w:rPr>
        <w:t>TJTY-ITSS-0804</w:t>
      </w:r>
    </w:p>
    <w:p>
      <w:pPr>
        <w:pStyle w:val="a1"/>
        <w:numPr>
          <w:ilvl w:val="0"/>
          <w:numId w:val="9"/>
        </w:numPr>
        <w:ind w:left="425" w:hanging="425" w:leftChars="0" w:firstLineChars="0"/>
        <w:rPr>
          <w:rFonts w:hint="default"/>
          <w:lang w:val="en-US" w:eastAsia="zh-CN"/>
        </w:rPr>
      </w:pPr>
      <w:r>
        <w:rPr>
          <w:rFonts w:hint="default"/>
          <w:lang w:val="en-US" w:eastAsia="zh-CN"/>
        </w:rPr>
        <w:t>《变更管理制度》</w:t>
      </w:r>
      <w:r>
        <w:rPr>
          <w:rFonts w:hint="default"/>
          <w:lang w:val="en-US" w:eastAsia="zh-CN"/>
        </w:rPr>
        <w:tab/>
      </w:r>
      <w:r>
        <w:rPr>
          <w:rFonts w:hint="default"/>
          <w:lang w:val="en-US" w:eastAsia="zh-CN"/>
        </w:rPr>
        <w:t>TJTY-ITSS-0806</w:t>
      </w:r>
    </w:p>
    <w:p>
      <w:pPr>
        <w:pStyle w:val="a1"/>
        <w:numPr>
          <w:ilvl w:val="0"/>
          <w:numId w:val="9"/>
        </w:numPr>
        <w:ind w:left="425" w:hanging="425" w:leftChars="0" w:firstLineChars="0"/>
        <w:rPr>
          <w:rFonts w:hint="default"/>
          <w:lang w:val="en-US" w:eastAsia="zh-CN"/>
        </w:rPr>
      </w:pPr>
      <w:r>
        <w:rPr>
          <w:rFonts w:hint="default"/>
          <w:lang w:val="en-US" w:eastAsia="zh-CN"/>
        </w:rPr>
        <w:t>《满意度管理制度》</w:t>
      </w:r>
      <w:r>
        <w:rPr>
          <w:rFonts w:hint="default"/>
          <w:lang w:val="en-US" w:eastAsia="zh-CN"/>
        </w:rPr>
        <w:tab/>
      </w:r>
      <w:r>
        <w:rPr>
          <w:rFonts w:hint="default"/>
          <w:lang w:val="en-US" w:eastAsia="zh-CN"/>
        </w:rPr>
        <w:t>TJTY-ITSS-0403</w:t>
      </w:r>
    </w:p>
    <w:p>
      <w:pPr>
        <w:pStyle w:val="a1"/>
        <w:numPr>
          <w:ilvl w:val="0"/>
          <w:numId w:val="9"/>
        </w:numPr>
        <w:ind w:left="425" w:hanging="425" w:leftChars="0" w:firstLineChars="0"/>
        <w:rPr>
          <w:rFonts w:hint="default"/>
          <w:lang w:val="en-US" w:eastAsia="zh-CN"/>
        </w:rPr>
      </w:pPr>
      <w:r>
        <w:rPr>
          <w:rFonts w:hint="default"/>
          <w:lang w:val="en-US" w:eastAsia="zh-CN"/>
        </w:rPr>
        <w:t>《能力改进管理制度》</w:t>
      </w:r>
      <w:r>
        <w:rPr>
          <w:rFonts w:hint="default"/>
          <w:lang w:val="en-US" w:eastAsia="zh-CN"/>
        </w:rPr>
        <w:tab/>
      </w:r>
      <w:r>
        <w:rPr>
          <w:rFonts w:hint="default"/>
          <w:lang w:val="en-US" w:eastAsia="zh-CN"/>
        </w:rPr>
        <w:t>TJTY-ITSS-0302</w:t>
      </w:r>
    </w:p>
    <w:p>
      <w:pPr>
        <w:pStyle w:val="a1"/>
        <w:numPr>
          <w:ilvl w:val="0"/>
          <w:numId w:val="9"/>
        </w:numPr>
        <w:ind w:left="425" w:hanging="425" w:leftChars="0" w:firstLineChars="0"/>
        <w:rPr>
          <w:rFonts w:hint="default"/>
          <w:lang w:val="en-US" w:eastAsia="zh-CN"/>
        </w:rPr>
      </w:pPr>
      <w:r>
        <w:rPr>
          <w:rFonts w:hint="default"/>
          <w:lang w:val="en-US" w:eastAsia="zh-CN"/>
        </w:rPr>
        <w:t>《服务目录管理制度》</w:t>
      </w:r>
      <w:r>
        <w:rPr>
          <w:rFonts w:hint="default"/>
          <w:lang w:val="en-US" w:eastAsia="zh-CN"/>
        </w:rPr>
        <w:tab/>
      </w:r>
      <w:r>
        <w:rPr>
          <w:rFonts w:hint="default"/>
          <w:lang w:val="en-US" w:eastAsia="zh-CN"/>
        </w:rPr>
        <w:t>TJTY-ITSS-0101</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11936"/>
      <w:r>
        <w:rPr>
          <w:rFonts w:hint="default"/>
          <w:lang w:val="en-US" w:eastAsia="zh-CN"/>
        </w:rPr>
        <w:t>相关记录</w:t>
      </w:r>
      <w:bookmarkEnd w:id="52"/>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3" w:name="_Toc28373"/>
      <w:r>
        <w:rPr>
          <w:rFonts w:hint="default"/>
          <w:lang w:val="en-US" w:eastAsia="zh-CN"/>
        </w:rPr>
        <w:t xml:space="preserve"> 相关记录表</w:t>
      </w:r>
      <w:bookmarkEnd w:id="5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029"/>
        <w:gridCol w:w="2233"/>
        <w:gridCol w:w="223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223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《日常运维报告》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《季度服务报告》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《年度服务报告》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《重大事件报告》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《专项改进报告》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《服务报告评审记录》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c>
          <w:tcPr>
            <w:tcW w:w="2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402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《服务报告分发记录》</w:t>
            </w:r>
          </w:p>
        </w:tc>
        <w:tc>
          <w:tcPr>
            <w:tcW w:w="223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223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43E0A21"/>
    <w:multiLevelType w:val="singleLevel"/>
    <w:tmpl w:val="843E0A21"/>
    <w:lvl w:ilvl="0">
      <w:start w:val="1"/>
      <w:numFmt w:val="decimal"/>
      <w:lvlText w:val="%1."/>
      <w:lvlJc w:val="left"/>
      <w:pPr>
        <w:ind w:left="425" w:hanging="425"/>
      </w:pPr>
      <w:rPr>
        <w:rFonts w:hint="default"/>
      </w:rPr>
    </w:lvl>
  </w:abstractNum>
  <w:abstractNum w:abstractNumId="1">
    <w:nsid w:val="866FA917"/>
    <w:multiLevelType w:val="singleLevel"/>
    <w:tmpl w:val="866FA917"/>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2A864A7"/>
    <w:multiLevelType w:val="singleLevel"/>
    <w:tmpl w:val="92A864A7"/>
    <w:lvl w:ilvl="0">
      <w:start w:val="1"/>
      <w:numFmt w:val="decimal"/>
      <w:lvlText w:val="%1."/>
      <w:lvlJc w:val="left"/>
      <w:pPr>
        <w:ind w:left="425" w:hanging="425"/>
      </w:pPr>
      <w:rPr>
        <w:rFonts w:hint="default"/>
      </w:rPr>
    </w:lvl>
  </w:abstractNum>
  <w:abstractNum w:abstractNumId="4">
    <w:nsid w:val="9E00BBE3"/>
    <w:multiLevelType w:val="singleLevel"/>
    <w:tmpl w:val="9E00BBE3"/>
    <w:lvl w:ilvl="0">
      <w:start w:val="1"/>
      <w:numFmt w:val="decimal"/>
      <w:lvlText w:val="%1."/>
      <w:lvlJc w:val="left"/>
      <w:pPr>
        <w:ind w:left="425" w:hanging="425"/>
      </w:pPr>
      <w:rPr>
        <w:rFonts w:hint="default"/>
      </w:rPr>
    </w:lvl>
  </w:abstractNum>
  <w:abstractNum w:abstractNumId="5">
    <w:nsid w:val="3262643D"/>
    <w:multiLevelType w:val="singleLevel"/>
    <w:tmpl w:val="3262643D"/>
    <w:lvl w:ilvl="0">
      <w:start w:val="1"/>
      <w:numFmt w:val="decimal"/>
      <w:lvlText w:val="%1."/>
      <w:lvlJc w:val="left"/>
      <w:pPr>
        <w:ind w:left="425" w:hanging="425"/>
      </w:pPr>
      <w:rPr>
        <w:rFonts w:hint="default"/>
      </w:rPr>
    </w:lvl>
  </w:abstractNum>
  <w:abstractNum w:abstractNumId="6">
    <w:nsid w:val="32F2AD63"/>
    <w:multiLevelType w:val="singleLevel"/>
    <w:tmpl w:val="32F2AD63"/>
    <w:lvl w:ilvl="0">
      <w:start w:val="1"/>
      <w:numFmt w:val="decimal"/>
      <w:lvlText w:val="%1."/>
      <w:lvlJc w:val="left"/>
      <w:pPr>
        <w:ind w:left="425" w:hanging="425"/>
      </w:pPr>
      <w:rPr>
        <w:rFonts w:hint="default"/>
      </w:rPr>
    </w:lvl>
  </w:abstractNum>
  <w:abstractNum w:abstractNumId="7">
    <w:nsid w:val="408E3A45"/>
    <w:multiLevelType w:val="singleLevel"/>
    <w:tmpl w:val="408E3A45"/>
    <w:lvl w:ilvl="0">
      <w:start w:val="1"/>
      <w:numFmt w:val="decimal"/>
      <w:lvlText w:val="%1."/>
      <w:lvlJc w:val="left"/>
      <w:pPr>
        <w:ind w:left="425" w:hanging="425"/>
      </w:pPr>
      <w:rPr>
        <w:rFonts w:hint="default"/>
      </w:rPr>
    </w:lvl>
  </w:abstractNum>
  <w:abstractNum w:abstractNumId="8">
    <w:nsid w:val="613E34C7"/>
    <w:multiLevelType w:val="singleLevel"/>
    <w:tmpl w:val="613E34C7"/>
    <w:lvl w:ilvl="0">
      <w:start w:val="1"/>
      <w:numFmt w:val="decimal"/>
      <w:lvlText w:val="%1."/>
      <w:lvlJc w:val="left"/>
      <w:pPr>
        <w:ind w:left="425" w:hanging="425"/>
      </w:pPr>
      <w:rPr>
        <w:rFonts w:hint="default"/>
      </w:rPr>
    </w:lvl>
  </w:abstractNum>
  <w:num w:numId="1">
    <w:abstractNumId w:val="2"/>
  </w:num>
  <w:num w:numId="2">
    <w:abstractNumId w:val="7"/>
  </w:num>
  <w:num w:numId="3">
    <w:abstractNumId w:val="5"/>
  </w:num>
  <w:num w:numId="4">
    <w:abstractNumId w:val="8"/>
  </w:num>
  <w:num w:numId="5">
    <w:abstractNumId w:val="4"/>
  </w:num>
  <w:num w:numId="6">
    <w:abstractNumId w:val="0"/>
  </w:num>
  <w:num w:numId="7">
    <w:abstractNumId w:val="6"/>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17</Pages>
  <Words>1973</Words>
  <Characters>2222</Characters>
  <Application>Microsoft Office Word</Application>
  <DocSecurity>0</DocSecurity>
  <Lines>0</Lines>
  <Paragraphs>0</Paragraphs>
  <ScaleCrop>false</ScaleCrop>
  <Company/>
  <LinksUpToDate>false</LinksUpToDate>
  <CharactersWithSpaces>2453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2026-03-18T17:46:30Z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