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运维服务事件管理制度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TJTY-ITSS-0604</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_Toc4602 </w:instrText>
          </w:r>
          <w:r>
            <w:fldChar w:fldCharType="separate"/>
          </w:r>
          <w:r>
            <w:rPr>
              <w:rFonts w:hint="default"/>
              <w:lang w:val="en-US" w:eastAsia="zh-CN"/>
            </w:rPr>
            <w:t>1. 目的</w:t>
          </w:r>
          <w:r>
            <w:tab/>
          </w:r>
          <w:r>
            <w:fldChar w:fldCharType="begin"/>
          </w:r>
          <w:r>
            <w:instrText xml:space="preserve"> PAGEREF _Toc4602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_Toc21784 </w:instrText>
          </w:r>
          <w:r>
            <w:fldChar w:fldCharType="separate"/>
          </w:r>
          <w:r>
            <w:rPr>
              <w:rFonts w:hint="default"/>
              <w:lang w:val="en-US" w:eastAsia="zh-CN"/>
            </w:rPr>
            <w:t>2. 范围</w:t>
          </w:r>
          <w:r>
            <w:tab/>
          </w:r>
          <w:r>
            <w:fldChar w:fldCharType="begin"/>
          </w:r>
          <w:r>
            <w:instrText xml:space="preserve"> PAGEREF _Toc21784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_Toc13712 </w:instrText>
          </w:r>
          <w:r>
            <w:fldChar w:fldCharType="separate"/>
          </w:r>
          <w:r>
            <w:rPr>
              <w:rFonts w:hint="default"/>
              <w:lang w:val="en-US" w:eastAsia="zh-CN"/>
            </w:rPr>
            <w:t>3. 术语与定义</w:t>
          </w:r>
          <w:r>
            <w:tab/>
          </w:r>
          <w:r>
            <w:fldChar w:fldCharType="begin"/>
          </w:r>
          <w:r>
            <w:instrText xml:space="preserve"> PAGEREF _Toc13712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_Toc9565 </w:instrText>
          </w:r>
          <w:r>
            <w:fldChar w:fldCharType="separate"/>
          </w:r>
          <w:r>
            <w:rPr>
              <w:rFonts w:hint="default"/>
              <w:lang w:val="en-US" w:eastAsia="zh-CN"/>
            </w:rPr>
            <w:t>4. 角色与职责</w:t>
          </w:r>
          <w:r>
            <w:tab/>
          </w:r>
          <w:r>
            <w:fldChar w:fldCharType="begin"/>
          </w:r>
          <w:r>
            <w:instrText xml:space="preserve"> PAGEREF _Toc9565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_Toc13898 </w:instrText>
          </w:r>
          <w:r>
            <w:fldChar w:fldCharType="separate"/>
          </w:r>
          <w:r>
            <w:rPr>
              <w:rFonts w:hint="default"/>
              <w:lang w:val="en-US" w:eastAsia="zh-CN"/>
            </w:rPr>
            <w:t>5. 事件管理流程与其他流程的关系</w:t>
          </w:r>
          <w:r>
            <w:tab/>
          </w:r>
          <w:r>
            <w:fldChar w:fldCharType="begin"/>
          </w:r>
          <w:r>
            <w:instrText xml:space="preserve"> PAGEREF _Toc13898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_Toc26295 </w:instrText>
          </w:r>
          <w:r>
            <w:fldChar w:fldCharType="separate"/>
          </w:r>
          <w:r>
            <w:rPr>
              <w:rFonts w:hint="default"/>
              <w:lang w:val="en-US" w:eastAsia="zh-CN"/>
            </w:rPr>
            <w:t>5.1. 与服务级别管理的关系</w:t>
          </w:r>
          <w:r>
            <w:tab/>
          </w:r>
          <w:r>
            <w:fldChar w:fldCharType="begin"/>
          </w:r>
          <w:r>
            <w:instrText xml:space="preserve"> PAGEREF _Toc26295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_Toc24382 </w:instrText>
          </w:r>
          <w:r>
            <w:fldChar w:fldCharType="separate"/>
          </w:r>
          <w:r>
            <w:rPr>
              <w:rFonts w:hint="default"/>
              <w:lang w:val="en-US" w:eastAsia="zh-CN"/>
            </w:rPr>
            <w:t>5.2. 与问题管理的关系</w:t>
          </w:r>
          <w:r>
            <w:tab/>
          </w:r>
          <w:r>
            <w:fldChar w:fldCharType="begin"/>
          </w:r>
          <w:r>
            <w:instrText xml:space="preserve"> PAGEREF _Toc24382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_Toc32240 </w:instrText>
          </w:r>
          <w:r>
            <w:fldChar w:fldCharType="separate"/>
          </w:r>
          <w:r>
            <w:rPr>
              <w:rFonts w:hint="default"/>
              <w:lang w:val="en-US" w:eastAsia="zh-CN"/>
            </w:rPr>
            <w:t>5.3. 与变更管理的关系</w:t>
          </w:r>
          <w:r>
            <w:tab/>
          </w:r>
          <w:r>
            <w:fldChar w:fldCharType="begin"/>
          </w:r>
          <w:r>
            <w:instrText xml:space="preserve"> PAGEREF _Toc32240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_Toc22518 </w:instrText>
          </w:r>
          <w:r>
            <w:fldChar w:fldCharType="separate"/>
          </w:r>
          <w:r>
            <w:rPr>
              <w:rFonts w:hint="default"/>
              <w:lang w:val="en-US" w:eastAsia="zh-CN"/>
            </w:rPr>
            <w:t>5.4. 与配置管理的关系</w:t>
          </w:r>
          <w:r>
            <w:tab/>
          </w:r>
          <w:r>
            <w:fldChar w:fldCharType="begin"/>
          </w:r>
          <w:r>
            <w:instrText xml:space="preserve"> PAGEREF _Toc22518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_Toc31428 </w:instrText>
          </w:r>
          <w:r>
            <w:fldChar w:fldCharType="separate"/>
          </w:r>
          <w:r>
            <w:rPr>
              <w:rFonts w:hint="default"/>
              <w:lang w:val="en-US" w:eastAsia="zh-CN"/>
            </w:rPr>
            <w:t>5.5. 与服务报告管理的关系</w:t>
          </w:r>
          <w:r>
            <w:tab/>
          </w:r>
          <w:r>
            <w:fldChar w:fldCharType="begin"/>
          </w:r>
          <w:r>
            <w:instrText xml:space="preserve"> PAGEREF _Toc31428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_Toc17965 </w:instrText>
          </w:r>
          <w:r>
            <w:fldChar w:fldCharType="separate"/>
          </w:r>
          <w:r>
            <w:rPr>
              <w:rFonts w:hint="default"/>
              <w:lang w:val="en-US" w:eastAsia="zh-CN"/>
            </w:rPr>
            <w:t>5.6. 与知识库管理的关系</w:t>
          </w:r>
          <w:r>
            <w:tab/>
          </w:r>
          <w:r>
            <w:fldChar w:fldCharType="begin"/>
          </w:r>
          <w:r>
            <w:instrText xml:space="preserve"> PAGEREF _Toc17965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_Toc13608 </w:instrText>
          </w:r>
          <w:r>
            <w:fldChar w:fldCharType="separate"/>
          </w:r>
          <w:r>
            <w:rPr>
              <w:rFonts w:hint="default"/>
              <w:lang w:val="en-US" w:eastAsia="zh-CN"/>
            </w:rPr>
            <w:t>5.7. 与应急管理的关系</w:t>
          </w:r>
          <w:r>
            <w:tab/>
          </w:r>
          <w:r>
            <w:fldChar w:fldCharType="begin"/>
          </w:r>
          <w:r>
            <w:instrText xml:space="preserve"> PAGEREF _Toc13608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_Toc28294 </w:instrText>
          </w:r>
          <w:r>
            <w:fldChar w:fldCharType="separate"/>
          </w:r>
          <w:r>
            <w:rPr>
              <w:rFonts w:hint="default"/>
              <w:lang w:val="en-US" w:eastAsia="zh-CN"/>
            </w:rPr>
            <w:t>5.8. 与能力管理的关系</w:t>
          </w:r>
          <w:r>
            <w:tab/>
          </w:r>
          <w:r>
            <w:fldChar w:fldCharType="begin"/>
          </w:r>
          <w:r>
            <w:instrText xml:space="preserve"> PAGEREF _Toc28294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_Toc430 </w:instrText>
          </w:r>
          <w:r>
            <w:fldChar w:fldCharType="separate"/>
          </w:r>
          <w:r>
            <w:rPr>
              <w:rFonts w:hint="default"/>
              <w:lang w:val="en-US" w:eastAsia="zh-CN"/>
            </w:rPr>
            <w:t>6. 事件分级与分类</w:t>
          </w:r>
          <w:r>
            <w:tab/>
          </w:r>
          <w:r>
            <w:fldChar w:fldCharType="begin"/>
          </w:r>
          <w:r>
            <w:instrText xml:space="preserve"> PAGEREF _Toc430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_Toc21466 </w:instrText>
          </w:r>
          <w:r>
            <w:fldChar w:fldCharType="separate"/>
          </w:r>
          <w:r>
            <w:rPr>
              <w:rFonts w:hint="default"/>
              <w:lang w:val="en-US" w:eastAsia="zh-CN"/>
            </w:rPr>
            <w:t>6.1. 事件级别定义</w:t>
          </w:r>
          <w:r>
            <w:tab/>
          </w:r>
          <w:r>
            <w:fldChar w:fldCharType="begin"/>
          </w:r>
          <w:r>
            <w:instrText xml:space="preserve"> PAGEREF _Toc21466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_Toc7703 </w:instrText>
          </w:r>
          <w:r>
            <w:fldChar w:fldCharType="separate"/>
          </w:r>
          <w:r>
            <w:rPr>
              <w:rFonts w:hint="default"/>
              <w:lang w:val="en-US" w:eastAsia="zh-CN"/>
            </w:rPr>
            <w:t>6.2. 事件分类</w:t>
          </w:r>
          <w:r>
            <w:tab/>
          </w:r>
          <w:r>
            <w:fldChar w:fldCharType="begin"/>
          </w:r>
          <w:r>
            <w:instrText xml:space="preserve"> PAGEREF _Toc7703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_Toc4623 </w:instrText>
          </w:r>
          <w:r>
            <w:fldChar w:fldCharType="separate"/>
          </w:r>
          <w:r>
            <w:rPr>
              <w:rFonts w:hint="default"/>
              <w:lang w:val="en-US" w:eastAsia="zh-CN"/>
            </w:rPr>
            <w:t>7. 事件响应与升级机制</w:t>
          </w:r>
          <w:r>
            <w:tab/>
          </w:r>
          <w:r>
            <w:fldChar w:fldCharType="begin"/>
          </w:r>
          <w:r>
            <w:instrText xml:space="preserve"> PAGEREF _Toc4623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_Toc16204 </w:instrText>
          </w:r>
          <w:r>
            <w:fldChar w:fldCharType="separate"/>
          </w:r>
          <w:r>
            <w:rPr>
              <w:rFonts w:hint="default"/>
              <w:lang w:val="en-US" w:eastAsia="zh-CN"/>
            </w:rPr>
            <w:t>7.1. 事件响应时间</w:t>
          </w:r>
          <w:r>
            <w:tab/>
          </w:r>
          <w:r>
            <w:fldChar w:fldCharType="begin"/>
          </w:r>
          <w:r>
            <w:instrText xml:space="preserve"> PAGEREF _Toc16204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_Toc22681 </w:instrText>
          </w:r>
          <w:r>
            <w:fldChar w:fldCharType="separate"/>
          </w:r>
          <w:r>
            <w:rPr>
              <w:rFonts w:hint="default"/>
              <w:lang w:val="en-US" w:eastAsia="zh-CN"/>
            </w:rPr>
            <w:t>7.2. 事件升级时间</w:t>
          </w:r>
          <w:r>
            <w:tab/>
          </w:r>
          <w:r>
            <w:fldChar w:fldCharType="begin"/>
          </w:r>
          <w:r>
            <w:instrText xml:space="preserve"> PAGEREF _Toc22681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_Toc13401 </w:instrText>
          </w:r>
          <w:r>
            <w:fldChar w:fldCharType="separate"/>
          </w:r>
          <w:r>
            <w:rPr>
              <w:rFonts w:hint="default"/>
              <w:lang w:val="en-US" w:eastAsia="zh-CN"/>
            </w:rPr>
            <w:t>7.3. 事件状态定义</w:t>
          </w:r>
          <w:r>
            <w:tab/>
          </w:r>
          <w:r>
            <w:fldChar w:fldCharType="begin"/>
          </w:r>
          <w:r>
            <w:instrText xml:space="preserve"> PAGEREF _Toc13401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_Toc18962 </w:instrText>
          </w:r>
          <w:r>
            <w:fldChar w:fldCharType="separate"/>
          </w:r>
          <w:r>
            <w:rPr>
              <w:rFonts w:hint="default"/>
              <w:lang w:val="en-US" w:eastAsia="zh-CN"/>
            </w:rPr>
            <w:t>8. 事件处理流程</w:t>
          </w:r>
          <w:r>
            <w:tab/>
          </w:r>
          <w:r>
            <w:fldChar w:fldCharType="begin"/>
          </w:r>
          <w:r>
            <w:instrText xml:space="preserve"> PAGEREF _Toc18962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_Toc28201 </w:instrText>
          </w:r>
          <w:r>
            <w:fldChar w:fldCharType="separate"/>
          </w:r>
          <w:r>
            <w:rPr>
              <w:rFonts w:hint="default"/>
              <w:lang w:val="en-US" w:eastAsia="zh-CN"/>
            </w:rPr>
            <w:t>8.1. 普通事件处理流程</w:t>
          </w:r>
          <w:r>
            <w:tab/>
          </w:r>
          <w:r>
            <w:fldChar w:fldCharType="begin"/>
          </w:r>
          <w:r>
            <w:instrText xml:space="preserve"> PAGEREF _Toc28201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_Toc29073 </w:instrText>
          </w:r>
          <w:r>
            <w:fldChar w:fldCharType="separate"/>
          </w:r>
          <w:r>
            <w:rPr>
              <w:rFonts w:hint="default"/>
              <w:lang w:val="en-US" w:eastAsia="zh-CN"/>
            </w:rPr>
            <w:t>8.1.1. 热线受理</w:t>
          </w:r>
          <w:r>
            <w:tab/>
          </w:r>
          <w:r>
            <w:fldChar w:fldCharType="begin"/>
          </w:r>
          <w:r>
            <w:instrText xml:space="preserve"> PAGEREF _Toc29073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_Toc31234 </w:instrText>
          </w:r>
          <w:r>
            <w:fldChar w:fldCharType="separate"/>
          </w:r>
          <w:r>
            <w:rPr>
              <w:rFonts w:hint="default"/>
              <w:lang w:val="en-US" w:eastAsia="zh-CN"/>
            </w:rPr>
            <w:t>8.1.2. 请求记录和分类</w:t>
          </w:r>
          <w:r>
            <w:tab/>
          </w:r>
          <w:r>
            <w:fldChar w:fldCharType="begin"/>
          </w:r>
          <w:r>
            <w:instrText xml:space="preserve"> PAGEREF _Toc31234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_Toc17313 </w:instrText>
          </w:r>
          <w:r>
            <w:fldChar w:fldCharType="separate"/>
          </w:r>
          <w:r>
            <w:rPr>
              <w:rFonts w:hint="default"/>
              <w:lang w:val="en-US" w:eastAsia="zh-CN"/>
            </w:rPr>
            <w:t>8.1.3. 一线支持尝试解决</w:t>
          </w:r>
          <w:r>
            <w:tab/>
          </w:r>
          <w:r>
            <w:fldChar w:fldCharType="begin"/>
          </w:r>
          <w:r>
            <w:instrText xml:space="preserve"> PAGEREF _Toc17313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_Toc11551 </w:instrText>
          </w:r>
          <w:r>
            <w:fldChar w:fldCharType="separate"/>
          </w:r>
          <w:r>
            <w:rPr>
              <w:rFonts w:hint="default"/>
              <w:lang w:val="en-US" w:eastAsia="zh-CN"/>
            </w:rPr>
            <w:t>8.1.4. 二线支持处理</w:t>
          </w:r>
          <w:r>
            <w:tab/>
          </w:r>
          <w:r>
            <w:fldChar w:fldCharType="begin"/>
          </w:r>
          <w:r>
            <w:instrText xml:space="preserve"> PAGEREF _Toc11551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_Toc4104 </w:instrText>
          </w:r>
          <w:r>
            <w:fldChar w:fldCharType="separate"/>
          </w:r>
          <w:r>
            <w:rPr>
              <w:rFonts w:hint="default"/>
              <w:lang w:val="en-US" w:eastAsia="zh-CN"/>
            </w:rPr>
            <w:t>8.1.5. 三线支持处理</w:t>
          </w:r>
          <w:r>
            <w:tab/>
          </w:r>
          <w:r>
            <w:fldChar w:fldCharType="begin"/>
          </w:r>
          <w:r>
            <w:instrText xml:space="preserve"> PAGEREF _Toc4104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_Toc29141 </w:instrText>
          </w:r>
          <w:r>
            <w:fldChar w:fldCharType="separate"/>
          </w:r>
          <w:r>
            <w:rPr>
              <w:rFonts w:hint="default"/>
              <w:lang w:val="en-US" w:eastAsia="zh-CN"/>
            </w:rPr>
            <w:t>8.1.6. 工单结束</w:t>
          </w:r>
          <w:r>
            <w:tab/>
          </w:r>
          <w:r>
            <w:fldChar w:fldCharType="begin"/>
          </w:r>
          <w:r>
            <w:instrText xml:space="preserve"> PAGEREF _Toc29141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_Toc12995 </w:instrText>
          </w:r>
          <w:r>
            <w:fldChar w:fldCharType="separate"/>
          </w:r>
          <w:r>
            <w:rPr>
              <w:rFonts w:hint="default"/>
              <w:lang w:val="en-US" w:eastAsia="zh-CN"/>
            </w:rPr>
            <w:t>8.1.7. 客户确认</w:t>
          </w:r>
          <w:r>
            <w:tab/>
          </w:r>
          <w:r>
            <w:fldChar w:fldCharType="begin"/>
          </w:r>
          <w:r>
            <w:instrText xml:space="preserve"> PAGEREF _Toc12995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_Toc27431 </w:instrText>
          </w:r>
          <w:r>
            <w:fldChar w:fldCharType="separate"/>
          </w:r>
          <w:r>
            <w:rPr>
              <w:rFonts w:hint="default"/>
              <w:lang w:val="en-US" w:eastAsia="zh-CN"/>
            </w:rPr>
            <w:t>8.1.8. 事件关闭</w:t>
          </w:r>
          <w:r>
            <w:tab/>
          </w:r>
          <w:r>
            <w:fldChar w:fldCharType="begin"/>
          </w:r>
          <w:r>
            <w:instrText xml:space="preserve"> PAGEREF _Toc27431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_Toc1505 </w:instrText>
          </w:r>
          <w:r>
            <w:fldChar w:fldCharType="separate"/>
          </w:r>
          <w:r>
            <w:rPr>
              <w:rFonts w:hint="default"/>
              <w:lang w:val="en-US" w:eastAsia="zh-CN"/>
            </w:rPr>
            <w:t>8.1.9. 客户回访</w:t>
          </w:r>
          <w:r>
            <w:tab/>
          </w:r>
          <w:r>
            <w:fldChar w:fldCharType="begin"/>
          </w:r>
          <w:r>
            <w:instrText xml:space="preserve"> PAGEREF _Toc1505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_Toc2487 </w:instrText>
          </w:r>
          <w:r>
            <w:fldChar w:fldCharType="separate"/>
          </w:r>
          <w:r>
            <w:rPr>
              <w:rFonts w:hint="default"/>
              <w:lang w:val="en-US" w:eastAsia="zh-CN"/>
            </w:rPr>
            <w:t>9. 紧急事件处理流程</w:t>
          </w:r>
          <w:r>
            <w:tab/>
          </w:r>
          <w:r>
            <w:fldChar w:fldCharType="begin"/>
          </w:r>
          <w:r>
            <w:instrText xml:space="preserve"> PAGEREF _Toc2487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_Toc25370 </w:instrText>
          </w:r>
          <w:r>
            <w:fldChar w:fldCharType="separate"/>
          </w:r>
          <w:r>
            <w:rPr>
              <w:rFonts w:hint="default"/>
              <w:lang w:val="en-US" w:eastAsia="zh-CN"/>
            </w:rPr>
            <w:t>9.1. 紧急事件识别</w:t>
          </w:r>
          <w:r>
            <w:tab/>
          </w:r>
          <w:r>
            <w:fldChar w:fldCharType="begin"/>
          </w:r>
          <w:r>
            <w:instrText xml:space="preserve"> PAGEREF _Toc25370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_Toc17775 </w:instrText>
          </w:r>
          <w:r>
            <w:fldChar w:fldCharType="separate"/>
          </w:r>
          <w:r>
            <w:rPr>
              <w:rFonts w:hint="default"/>
              <w:lang w:val="en-US" w:eastAsia="zh-CN"/>
            </w:rPr>
            <w:t>9.2. 紧急事件处理流程</w:t>
          </w:r>
          <w:r>
            <w:tab/>
          </w:r>
          <w:r>
            <w:fldChar w:fldCharType="begin"/>
          </w:r>
          <w:r>
            <w:instrText xml:space="preserve"> PAGEREF _Toc17775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_Toc15202 </w:instrText>
          </w:r>
          <w:r>
            <w:fldChar w:fldCharType="separate"/>
          </w:r>
          <w:r>
            <w:rPr>
              <w:rFonts w:hint="default"/>
              <w:lang w:val="en-US" w:eastAsia="zh-CN"/>
            </w:rPr>
            <w:t>9.2.1. 事件识别与上报</w:t>
          </w:r>
          <w:r>
            <w:tab/>
          </w:r>
          <w:r>
            <w:fldChar w:fldCharType="begin"/>
          </w:r>
          <w:r>
            <w:instrText xml:space="preserve"> PAGEREF _Toc15202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_Toc2403 </w:instrText>
          </w:r>
          <w:r>
            <w:fldChar w:fldCharType="separate"/>
          </w:r>
          <w:r>
            <w:rPr>
              <w:rFonts w:hint="default"/>
              <w:lang w:val="en-US" w:eastAsia="zh-CN"/>
            </w:rPr>
            <w:t>9.2.2. 应急响应启动</w:t>
          </w:r>
          <w:r>
            <w:tab/>
          </w:r>
          <w:r>
            <w:fldChar w:fldCharType="begin"/>
          </w:r>
          <w:r>
            <w:instrText xml:space="preserve"> PAGEREF _Toc2403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_Toc15299 </w:instrText>
          </w:r>
          <w:r>
            <w:fldChar w:fldCharType="separate"/>
          </w:r>
          <w:r>
            <w:rPr>
              <w:rFonts w:hint="default"/>
              <w:lang w:val="en-US" w:eastAsia="zh-CN"/>
            </w:rPr>
            <w:t>9.2.3. 方案制定与审核</w:t>
          </w:r>
          <w:r>
            <w:tab/>
          </w:r>
          <w:r>
            <w:fldChar w:fldCharType="begin"/>
          </w:r>
          <w:r>
            <w:instrText xml:space="preserve"> PAGEREF _Toc15299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_Toc2989 </w:instrText>
          </w:r>
          <w:r>
            <w:fldChar w:fldCharType="separate"/>
          </w:r>
          <w:r>
            <w:rPr>
              <w:rFonts w:hint="default"/>
              <w:lang w:val="en-US" w:eastAsia="zh-CN"/>
            </w:rPr>
            <w:t>9.2.4. 方案实施</w:t>
          </w:r>
          <w:r>
            <w:tab/>
          </w:r>
          <w:r>
            <w:fldChar w:fldCharType="begin"/>
          </w:r>
          <w:r>
            <w:instrText xml:space="preserve"> PAGEREF _Toc2989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_Toc29243 </w:instrText>
          </w:r>
          <w:r>
            <w:fldChar w:fldCharType="separate"/>
          </w:r>
          <w:r>
            <w:rPr>
              <w:rFonts w:hint="default"/>
              <w:lang w:val="en-US" w:eastAsia="zh-CN"/>
            </w:rPr>
            <w:t>9.2.5. 效果评审</w:t>
          </w:r>
          <w:r>
            <w:tab/>
          </w:r>
          <w:r>
            <w:fldChar w:fldCharType="begin"/>
          </w:r>
          <w:r>
            <w:instrText xml:space="preserve"> PAGEREF _Toc29243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_Toc22878 </w:instrText>
          </w:r>
          <w:r>
            <w:fldChar w:fldCharType="separate"/>
          </w:r>
          <w:r>
            <w:rPr>
              <w:rFonts w:hint="default"/>
              <w:lang w:val="en-US" w:eastAsia="zh-CN"/>
            </w:rPr>
            <w:t>9.2.6. 客户回访与事件关闭</w:t>
          </w:r>
          <w:r>
            <w:tab/>
          </w:r>
          <w:r>
            <w:fldChar w:fldCharType="begin"/>
          </w:r>
          <w:r>
            <w:instrText xml:space="preserve"> PAGEREF _Toc22878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_Toc14974 </w:instrText>
          </w:r>
          <w:r>
            <w:fldChar w:fldCharType="separate"/>
          </w:r>
          <w:r>
            <w:rPr>
              <w:rFonts w:hint="default"/>
              <w:lang w:val="en-US" w:eastAsia="zh-CN"/>
            </w:rPr>
            <w:t>9.2.7. 事后处理</w:t>
          </w:r>
          <w:r>
            <w:tab/>
          </w:r>
          <w:r>
            <w:fldChar w:fldCharType="begin"/>
          </w:r>
          <w:r>
            <w:instrText xml:space="preserve"> PAGEREF _Toc14974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_Toc24244 </w:instrText>
          </w:r>
          <w:r>
            <w:fldChar w:fldCharType="separate"/>
          </w:r>
          <w:r>
            <w:rPr>
              <w:rFonts w:hint="default"/>
              <w:lang w:val="en-US" w:eastAsia="zh-CN"/>
            </w:rPr>
            <w:t>10. 过程质量控制</w:t>
          </w:r>
          <w:r>
            <w:tab/>
          </w:r>
          <w:r>
            <w:fldChar w:fldCharType="begin"/>
          </w:r>
          <w:r>
            <w:instrText xml:space="preserve"> PAGEREF _Toc24244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_Toc14788 </w:instrText>
          </w:r>
          <w:r>
            <w:fldChar w:fldCharType="separate"/>
          </w:r>
          <w:r>
            <w:rPr>
              <w:rFonts w:hint="default"/>
              <w:lang w:val="en-US" w:eastAsia="zh-CN"/>
            </w:rPr>
            <w:t>11. KPI指标</w:t>
          </w:r>
          <w:r>
            <w:tab/>
          </w:r>
          <w:r>
            <w:fldChar w:fldCharType="begin"/>
          </w:r>
          <w:r>
            <w:instrText xml:space="preserve"> PAGEREF _Toc14788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_Toc13870 </w:instrText>
          </w:r>
          <w:r>
            <w:fldChar w:fldCharType="separate"/>
          </w:r>
          <w:r>
            <w:rPr>
              <w:rFonts w:hint="default"/>
              <w:lang w:val="en-US" w:eastAsia="zh-CN"/>
            </w:rPr>
            <w:t>12. 相关记录</w:t>
          </w:r>
          <w:r>
            <w:tab/>
          </w:r>
          <w:r>
            <w:fldChar w:fldCharType="begin"/>
          </w:r>
          <w:r>
            <w:instrText xml:space="preserve"> PAGEREF _Toc13870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_Toc2782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_Toc2782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_Toc28954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_Toc28954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_Toc17878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事件级别定义表</w:t>
      </w:r>
      <w:r>
        <w:tab/>
      </w:r>
      <w:r>
        <w:fldChar w:fldCharType="begin"/>
      </w:r>
      <w:r>
        <w:instrText xml:space="preserve"> PAGEREF _Toc17878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_Toc17044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事件分类表</w:t>
      </w:r>
      <w:r>
        <w:tab/>
      </w:r>
      <w:r>
        <w:fldChar w:fldCharType="begin"/>
      </w:r>
      <w:r>
        <w:instrText xml:space="preserve"> PAGEREF _Toc17044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_Toc7420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事件响应时间表</w:t>
      </w:r>
      <w:r>
        <w:tab/>
      </w:r>
      <w:r>
        <w:fldChar w:fldCharType="begin"/>
      </w:r>
      <w:r>
        <w:instrText xml:space="preserve"> PAGEREF _Toc7420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_Toc2214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default"/>
          <w:lang w:val="en-US" w:eastAsia="zh-CN"/>
        </w:rPr>
        <w:t xml:space="preserve"> 事件升级时间表</w:t>
      </w:r>
      <w:r>
        <w:tab/>
      </w:r>
      <w:r>
        <w:fldChar w:fldCharType="begin"/>
      </w:r>
      <w:r>
        <w:instrText xml:space="preserve"> PAGEREF _Toc2214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_Toc19518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3 </w:t>
      </w:r>
      <w:r>
        <w:rPr>
          <w:rFonts w:hint="default"/>
          <w:lang w:val="en-US" w:eastAsia="zh-CN"/>
        </w:rPr>
        <w:t xml:space="preserve"> 事件状态定义表</w:t>
      </w:r>
      <w:r>
        <w:tab/>
      </w:r>
      <w:r>
        <w:fldChar w:fldCharType="begin"/>
      </w:r>
      <w:r>
        <w:instrText xml:space="preserve"> PAGEREF _Toc19518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_Toc11467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过程质量控制流程表</w:t>
      </w:r>
      <w:r>
        <w:tab/>
      </w:r>
      <w:r>
        <w:fldChar w:fldCharType="begin"/>
      </w:r>
      <w:r>
        <w:instrText xml:space="preserve"> PAGEREF _Toc11467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_Toc18459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_Toc18459 \h </w:instrText>
      </w:r>
      <w:r>
        <w:fldChar w:fldCharType="separate"/>
      </w:r>
      <w:r>
        <w:t>16</w:t>
      </w:r>
      <w:r>
        <w:fldChar w:fldCharType="end"/>
      </w:r>
      <w:r>
        <w:fldChar w:fldCharType="end"/>
      </w:r>
    </w:p>
    <w:p>
      <w:pPr>
        <w:pStyle w:val="TableofFigures"/>
        <w:tabs>
          <w:tab w:val="right" w:leader="dot" w:pos="8306"/>
        </w:tabs>
      </w:pPr>
      <w:r>
        <w:fldChar w:fldCharType="begin"/>
      </w:r>
      <w:r>
        <w:instrText xml:space="preserve"> HYPERLINK \l _Toc32676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_Toc32676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_Toc19749 </w:instrText>
      </w:r>
      <w:r>
        <w:fldChar w:fldCharType="separate"/>
      </w:r>
      <w:r>
        <w:rPr>
          <w:rFonts w:hint="eastAsia"/>
          <w:lang w:val="en-US" w:eastAsia="zh-CN"/>
        </w:rPr>
        <w:t xml:space="preserve">图 </w:t>
      </w:r>
      <w:r>
        <w:rPr>
          <w:rFonts w:hint="default"/>
          <w:lang w:val="en-US" w:eastAsia="zh-CN"/>
        </w:rPr>
        <w:t>8</w:t>
      </w:r>
      <w:r>
        <w:rPr>
          <w:rFonts w:hint="eastAsia"/>
          <w:lang w:val="en-US" w:eastAsia="zh-CN"/>
        </w:rPr>
        <w:t>-</w:t>
      </w:r>
      <w:r>
        <w:t xml:space="preserve">1 </w:t>
      </w:r>
      <w:r>
        <w:rPr>
          <w:rFonts w:hint="default"/>
          <w:lang w:val="en-US" w:eastAsia="zh-CN"/>
        </w:rPr>
        <w:t xml:space="preserve"> 普通事件处理流程图</w:t>
      </w:r>
      <w:r>
        <w:tab/>
      </w:r>
      <w:r>
        <w:fldChar w:fldCharType="begin"/>
      </w:r>
      <w:r>
        <w:instrText xml:space="preserve"> PAGEREF _Toc19749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4602"/>
      <w:r>
        <w:rPr>
          <w:rFonts w:hint="default"/>
          <w:lang w:val="en-US" w:eastAsia="zh-CN"/>
        </w:rPr>
        <w:t>目的</w:t>
      </w:r>
      <w:bookmarkEnd w:id="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是一个被动性的任务，旨在减少或消除存在或可能存在与运维服务中的干扰因素给运维服务带来的影响，确保用户可以尽快恢复自己的正常工作。通过将事件记录下来并分类，再分配给适当的专业人员处理，同时监控事件的发展，并在事件得到解决之后将其关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事件管理流程的主要功能是尽快解决日常工作环境中出现的事件，保持运维服务的稳定性，其目的包括：</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在成本允许的范围内尽快恢复服务；</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快速响应服务请求（电话、网站、即时通讯工具）；</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跟踪事件处理的状态；</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确认事件的解决和用户满意度；</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进行事件控制；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按规范记录事件；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就事件的优先级、影响范围等进行分类；</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分析、诊断，必要时进行升级；</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监视并结束事件；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进行定期服务回顾；</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提供一个日常服务接口。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说明：本制度中的“年度”指公司运维服务管理周期，即每年7月1日至次年6月30日。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1784"/>
      <w:r>
        <w:rPr>
          <w:rFonts w:hint="default"/>
          <w:lang w:val="en-US" w:eastAsia="zh-CN"/>
        </w:rPr>
        <w:t>范围</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本制度适用于公司运维服务过程中产生的所有事件和服务请求的处理，包括但不限于以下情况：</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系统故障导致服务中断或性能下降；</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软件使用过程中出现的异常；</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硬件设备故障；</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用户咨询服务请求；</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用户投诉；</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监控系统产生的告警；</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日常巡检发现的问题。</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3712"/>
      <w:r>
        <w:rPr>
          <w:rFonts w:hint="default"/>
          <w:lang w:val="en-US" w:eastAsia="zh-CN"/>
        </w:rPr>
        <w:t>术语与定义</w:t>
      </w:r>
      <w:bookmarkEnd w:id="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 w:name="_Toc2782"/>
      <w:r>
        <w:rPr>
          <w:rFonts w:hint="default"/>
          <w:lang w:val="en-US" w:eastAsia="zh-CN"/>
        </w:rPr>
        <w:t xml:space="preserve"> 术语定义表</w:t>
      </w:r>
      <w:bookmarkEnd w:id="4"/>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7"/>
        <w:gridCol w:w="7535"/>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7"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53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服务的意外中断或服务质量的降低，以及用户的服务请求。事件不属于标准操作，并可能导致或已经导致服务中断或质量下降。</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事件分类</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根据事件性质进行的划分，包括故障、咨询、投诉等。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事件级别</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根据事件影响范围和紧急程度确定的优先级，分为一级事件、二级事件、三级事件。</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事件状态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事件在生命周期中所处的处理阶段，如已登记、处理中、已解决、已关闭等。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一线支持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服务台人员，负责事件受理、初步判断和简单问题解决。</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二线支持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运维工程师，负责处理一线升级的复杂事件。</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三线支持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技术中心工程师，负责处理二线无法解决的深度技术问题。</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应急响应</w:t>
            </w:r>
          </w:p>
        </w:tc>
        <w:tc>
          <w:tcPr>
            <w:tcW w:w="753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针对重大事件的紧急处理机制，需启动应急预案。</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9565"/>
      <w:r>
        <w:rPr>
          <w:rFonts w:hint="default"/>
          <w:lang w:val="en-US" w:eastAsia="zh-CN"/>
        </w:rPr>
        <w:t>角色与职责</w:t>
      </w:r>
      <w:bookmarkEnd w:id="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 w:name="_Toc28954"/>
      <w:r>
        <w:rPr>
          <w:rFonts w:hint="default"/>
          <w:lang w:val="en-US" w:eastAsia="zh-CN"/>
        </w:rPr>
        <w:t xml:space="preserve"> 角色与职责表</w:t>
      </w:r>
      <w:bookmarkEnd w:id="6"/>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68"/>
        <w:gridCol w:w="2412"/>
        <w:gridCol w:w="494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168"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241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对应岗位</w:t>
            </w:r>
          </w:p>
        </w:tc>
        <w:tc>
          <w:tcPr>
            <w:tcW w:w="494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事件管理负责人</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定义并维护事件管理流程文件及所需记录模板；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确定和执行流程本身的变更，传达新政策和更新政策；</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识别流程执行过程中的例外和异常情况并进行管理；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识别事件管理过程中存在的问题并及时制定改进方案；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在系统中定义事件管理流程、服务目录及SLA标准；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协调事件管理的日常操作；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管理所有事件管理的模板和报表；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作为流程的集中联络点，负责与客户、服务供应商、管理层之间的沟通；</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确保日常操作中所采集信息的完整性；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10. 管理事件管理流程的实施，包括一线、二线、三线的执行情况；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11. 在需要的时候，按照升级政策进行升级；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12. 负责知识库的扩充、完善和修改；</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13. 准备和分析报表。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事件执行人</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协助事件管理负责人进行日常事件管理工作的协调和监督。</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一线支持</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接收事件请求；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对事件进行初步判断和解决；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对于在规定时间内不能解决的事件及时上报并移交二线处理；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对事件过程进行跟踪和结果反馈；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事件解决后进行客户回访和满意度调查。</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二线支持</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硬件运维工程师、软件运维工程师</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对一线移交来的事件制定解决方案；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对在规定时间内自己不能解决，或者需要升级成问题处理的，需及时反馈并移交三线解决；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将处理过程和解决方案记录到工单中。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三线支持</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技术支持工程师、研发工程师</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对二线移交的事件快速判断能否解决并制定解决方案；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如不能解决则联系厂商或第三方协助一起解决；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对已解决或升级成问题的事件及时汇总解决方案，录入知识库；</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参与重大事件的技术会诊。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应急小组</w:t>
            </w:r>
          </w:p>
        </w:tc>
        <w:tc>
          <w:tcPr>
            <w:tcW w:w="241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副总经理、运维部经理、技术中心经理</w:t>
            </w:r>
          </w:p>
        </w:tc>
        <w:tc>
          <w:tcPr>
            <w:tcW w:w="494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负责紧急事件的指挥调度和资源协调。</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3898"/>
      <w:r>
        <w:rPr>
          <w:rFonts w:hint="default"/>
          <w:lang w:val="en-US" w:eastAsia="zh-CN"/>
        </w:rPr>
        <w:t>事件管理流程与其他流程的关系</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事件管理流程是运维服务体系的核心流程之一，它与公司运维服务管理体系中的其他流程密切相关，共同构成完整的服务管理闭环。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6295"/>
      <w:r>
        <w:rPr>
          <w:rFonts w:hint="default"/>
          <w:lang w:val="en-US" w:eastAsia="zh-CN"/>
        </w:rPr>
        <w:t>与服务级别管理的关系</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为服务级别管理提供关键的基础数据。事件的处理时效、响应时间、解决时间等数据，是衡量服务级别协议（SLA）达成情况的重要依据。服务级别管理通过分析事件数据，评估服务绩效，识别服务差距，推动服务质量的持续改进。同时，SLA中定义的服务目标也直接影响事件的优先级划分和处理时限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4382"/>
      <w:r>
        <w:rPr>
          <w:rFonts w:hint="default"/>
          <w:lang w:val="en-US" w:eastAsia="zh-CN"/>
        </w:rPr>
        <w:t>与问题管理的关系</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和问题管理是两个相互关联但目标不同的流程。事件管理侧重于尽快恢复服务，解决表象问题；而问题管理侧重于查找事件的根本原因，防止事件重复发生。当同一事件频繁发生，或事件原因不明时，事件管理流程会触发问题管理流程，将事件转入问题管理进行深度分析。问题管理形成的解决方案和已知错误信息，会录入知识库，为后续事件处理提供参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32240"/>
      <w:r>
        <w:rPr>
          <w:rFonts w:hint="default"/>
          <w:lang w:val="en-US" w:eastAsia="zh-CN"/>
        </w:rPr>
        <w:t>与变更管理的关系</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过程中需要对系统配置、软件代码或硬件环境进行修改时，必须启动变更管理流程。事件处理人员应根据变更的影响范围和紧急程度，提交变更请求，经变更审批通过后方可实施。变更实施完成后，事件处理方可继续或关闭。变更管理确保事件处理过程中的修改受控，降低引入新风险的可能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2518"/>
      <w:r>
        <w:rPr>
          <w:rFonts w:hint="default"/>
          <w:lang w:val="en-US" w:eastAsia="zh-CN"/>
        </w:rPr>
        <w:t>与配置管理的关系</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过程中可能涉及配置项的修改，如服务器配置变更、网络设备参数调整等。事件处理后，相关人员需通知配置管理负责人更新配置管理数据库（CMDB），确保配置信息的准确性和实时性。同时，配置管理为事件处理提供准确的配置信息，帮助事件处理人员快速定位问题。</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1428"/>
      <w:r>
        <w:rPr>
          <w:rFonts w:hint="default"/>
          <w:lang w:val="en-US" w:eastAsia="zh-CN"/>
        </w:rPr>
        <w:t>与服务报告管理的关系</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事件管理流程产生的事件数据是服务报告的重要组成部分。服务报告中的事件统计、趋势分析、SLA达成情况等模块，均以事件管理的数据为基础。事件管理负责人需定期提供事件数据，支持服务报告的编制。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7965"/>
      <w:r>
        <w:rPr>
          <w:rFonts w:hint="default"/>
          <w:lang w:val="en-US" w:eastAsia="zh-CN"/>
        </w:rPr>
        <w:t>与知识库管理的关系</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过程中积累的解决方案、处理经验、故障规避措施等，是知识库的重要来源。事件处理后，典型事件的解决方案应录入知识库，供后续事件处理参考。知识库的有效利用可以提高事件处理的效率，减少一线支持的解决时间。</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3608"/>
      <w:r>
        <w:rPr>
          <w:rFonts w:hint="default"/>
          <w:lang w:val="en-US" w:eastAsia="zh-CN"/>
        </w:rPr>
        <w:t>与应急管理的关系</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重大事件（一级事件）的处理需启动应急管理流程。应急管理负责重大事件的指挥调度、资源协调和应急处置，事件管理则负责事件的具体技术处理和进展跟踪。事件处理完成后，应急管理组织复盘分析，将改进措施纳入应急管理体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8294"/>
      <w:r>
        <w:rPr>
          <w:rFonts w:hint="default"/>
          <w:lang w:val="en-US" w:eastAsia="zh-CN"/>
        </w:rPr>
        <w:t>与能力管理的关系</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的数据可以反映人员、技术、资源等方面的能力短板。例如，事件解决时间过长可能反映人员技能不足，特定类型事件频发可能反映技术缺陷，备件不足导致处理延迟可能反映资源问题。能力管理依据事件数据，识别能力需求，制定能力提升计划。</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430"/>
      <w:r>
        <w:rPr>
          <w:rFonts w:hint="default"/>
          <w:lang w:val="en-US" w:eastAsia="zh-CN"/>
        </w:rPr>
        <w:t>事件分级与分类</w:t>
      </w:r>
      <w:bookmarkEnd w:id="1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1466"/>
      <w:r>
        <w:rPr>
          <w:rFonts w:hint="default"/>
          <w:lang w:val="en-US" w:eastAsia="zh-CN"/>
        </w:rPr>
        <w:t>事件级别定义</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为合理分配资源，确保重要事件得到优先处理，事件根据影响范围和紧急程度分为三个级别。</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17878"/>
      <w:r>
        <w:rPr>
          <w:rFonts w:hint="default"/>
          <w:lang w:val="en-US" w:eastAsia="zh-CN"/>
        </w:rPr>
        <w:t xml:space="preserve"> 事件级别定义表</w:t>
      </w:r>
      <w:bookmarkEnd w:id="18"/>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45"/>
        <w:gridCol w:w="2446"/>
        <w:gridCol w:w="1515"/>
        <w:gridCol w:w="1702"/>
        <w:gridCol w:w="1887"/>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事件级别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定义</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影响业务范围</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影响业务程度</w:t>
            </w:r>
          </w:p>
        </w:tc>
        <w:tc>
          <w:tcPr>
            <w:tcW w:w="188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业务修复紧急程度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客户业务中断，无法工作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80%以上客户</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业务完全中断</w:t>
            </w:r>
          </w:p>
        </w:tc>
        <w:tc>
          <w:tcPr>
            <w:tcW w:w="188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非常紧急</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客户业务性能严重下降</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50%以上客户</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业务严重降级</w:t>
            </w:r>
          </w:p>
        </w:tc>
        <w:tc>
          <w:tcPr>
            <w:tcW w:w="188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w:t>
            </w:r>
          </w:p>
        </w:tc>
      </w:tr>
      <w:tr>
        <w:tblPrEx>
          <w:tblW w:w="8495" w:type="dxa"/>
          <w:jc w:val="center"/>
          <w:shd w:val="clear" w:color="auto" w:fill="auto"/>
          <w:tblCellMar>
            <w:top w:w="15" w:type="dxa"/>
            <w:left w:w="15" w:type="dxa"/>
            <w:bottom w:w="15" w:type="dxa"/>
            <w:right w:w="15" w:type="dxa"/>
          </w:tblCellMar>
        </w:tblPrEx>
        <w:trPr>
          <w:trHeight w:val="0"/>
          <w:jc w:val="center"/>
        </w:trPr>
        <w:tc>
          <w:tcPr>
            <w:tcW w:w="94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三级事件</w:t>
            </w:r>
          </w:p>
        </w:tc>
        <w:tc>
          <w:tcPr>
            <w:tcW w:w="244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客户业务性能下降</w:t>
            </w:r>
          </w:p>
        </w:tc>
        <w:tc>
          <w:tcPr>
            <w:tcW w:w="151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20%以上客户</w:t>
            </w:r>
          </w:p>
        </w:tc>
        <w:tc>
          <w:tcPr>
            <w:tcW w:w="170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业务部分受影响</w:t>
            </w:r>
          </w:p>
        </w:tc>
        <w:tc>
          <w:tcPr>
            <w:tcW w:w="188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普通</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7703"/>
      <w:r>
        <w:rPr>
          <w:rFonts w:hint="default"/>
          <w:lang w:val="en-US" w:eastAsia="zh-CN"/>
        </w:rPr>
        <w:t>事件分类</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根据事件的性质和来源，事件分为以下类别：</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0" w:name="_Toc17044"/>
      <w:r>
        <w:rPr>
          <w:rFonts w:hint="default"/>
          <w:lang w:val="en-US" w:eastAsia="zh-CN"/>
        </w:rPr>
        <w:t xml:space="preserve"> 事件分类表</w:t>
      </w:r>
      <w:bookmarkEnd w:id="2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4"/>
        <w:gridCol w:w="4237"/>
        <w:gridCol w:w="330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事件分类</w:t>
            </w:r>
          </w:p>
        </w:tc>
        <w:tc>
          <w:tcPr>
            <w:tcW w:w="423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c>
          <w:tcPr>
            <w:tcW w:w="330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示例</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故障类</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系统、硬件、软件等出现异常，导致服务中断或质量下降</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服务器宕机、网络中断、软件报错</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咨询类</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用户对系统使用、功能等提出问题，寻求帮助</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操作疑问、功能咨询、配置咨询</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投诉类</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用户对服务质量、服务态度等表示不满</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响应慢、处理不及时、服务态度差</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服务请求</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用户提出的正常服务需求</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权限申请、数据恢复、软件安装</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监控告警</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监控系统自动发现的问题</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CPU过高告警、磁盘满告警、服务不可用告警</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巡检问题</w:t>
            </w:r>
          </w:p>
        </w:tc>
        <w:tc>
          <w:tcPr>
            <w:tcW w:w="423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日常巡检中发现的问题</w:t>
            </w:r>
          </w:p>
        </w:tc>
        <w:tc>
          <w:tcPr>
            <w:tcW w:w="330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日志错误、配置异常、性能瓶颈</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4623"/>
      <w:r>
        <w:rPr>
          <w:rFonts w:hint="default"/>
          <w:lang w:val="en-US" w:eastAsia="zh-CN"/>
        </w:rPr>
        <w:t>事件响应与升级机制</w:t>
      </w:r>
      <w:bookmarkEnd w:id="2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6204"/>
      <w:r>
        <w:rPr>
          <w:rFonts w:hint="default"/>
          <w:lang w:val="en-US" w:eastAsia="zh-CN"/>
        </w:rPr>
        <w:t>事件响应时间</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根据不同事件级别，规定相应的响应时间和处理时间要求。</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7420"/>
      <w:r>
        <w:rPr>
          <w:rFonts w:hint="default"/>
          <w:lang w:val="en-US" w:eastAsia="zh-CN"/>
        </w:rPr>
        <w:t xml:space="preserve"> 事件响应时间表</w:t>
      </w:r>
      <w:bookmarkEnd w:id="2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94"/>
        <w:gridCol w:w="2389"/>
        <w:gridCol w:w="4612"/>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事件级别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服务响应时间</w:t>
            </w:r>
          </w:p>
        </w:tc>
        <w:tc>
          <w:tcPr>
            <w:tcW w:w="461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处理时间要求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3分钟以内</w:t>
            </w:r>
          </w:p>
        </w:tc>
        <w:tc>
          <w:tcPr>
            <w:tcW w:w="4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30分钟以内到场；4小时以内解决</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10分钟以内</w:t>
            </w:r>
          </w:p>
        </w:tc>
        <w:tc>
          <w:tcPr>
            <w:tcW w:w="4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4小时以内到场；24小时以内解决</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9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三级事件</w:t>
            </w:r>
          </w:p>
        </w:tc>
        <w:tc>
          <w:tcPr>
            <w:tcW w:w="238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1小时以内</w:t>
            </w:r>
          </w:p>
        </w:tc>
        <w:tc>
          <w:tcPr>
            <w:tcW w:w="461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8小时以内到场；40小时以内解决</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2681"/>
      <w:r>
        <w:rPr>
          <w:rFonts w:hint="default"/>
          <w:lang w:val="en-US" w:eastAsia="zh-CN"/>
        </w:rPr>
        <w:t>事件升级时间</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当事件在规定时间内未能解决时，需按以下时间要求进行升级处理。</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5" w:name="_Toc2214"/>
      <w:r>
        <w:rPr>
          <w:rFonts w:hint="default"/>
          <w:lang w:val="en-US" w:eastAsia="zh-CN"/>
        </w:rPr>
        <w:t xml:space="preserve"> 事件升级时间表</w:t>
      </w:r>
      <w:bookmarkEnd w:id="2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76"/>
        <w:gridCol w:w="3559"/>
        <w:gridCol w:w="356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事件级别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一线支持升级到二线支持</w:t>
            </w:r>
          </w:p>
        </w:tc>
        <w:tc>
          <w:tcPr>
            <w:tcW w:w="35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二线支持升级到三线支持</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w:t>
            </w:r>
          </w:p>
        </w:tc>
        <w:tc>
          <w:tcPr>
            <w:tcW w:w="35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35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7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三级事件</w:t>
            </w:r>
          </w:p>
        </w:tc>
        <w:tc>
          <w:tcPr>
            <w:tcW w:w="355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35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3401"/>
      <w:r>
        <w:rPr>
          <w:rFonts w:hint="default"/>
          <w:lang w:val="en-US" w:eastAsia="zh-CN"/>
        </w:rPr>
        <w:t>事件状态定义</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事件在生命周期中会经历不同的状态，明确的状态定义有助于跟踪事件进展。</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7" w:name="_Toc19518"/>
      <w:r>
        <w:rPr>
          <w:rFonts w:hint="default"/>
          <w:lang w:val="en-US" w:eastAsia="zh-CN"/>
        </w:rPr>
        <w:t xml:space="preserve"> 事件状态定义表</w:t>
      </w:r>
      <w:bookmarkEnd w:id="2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13"/>
        <w:gridCol w:w="6782"/>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事件状态</w:t>
            </w:r>
          </w:p>
        </w:tc>
        <w:tc>
          <w:tcPr>
            <w:tcW w:w="678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已登记</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事件已被服务台受理并记录在系统中</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已分派</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事件已分派给具体处理人员，但尚未被接受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处理中</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处理人员已接受事件，正在处理中</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已解决</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事件已处理完成，等待客户确认</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已关闭</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客户确认解决，事件正式关闭</w:t>
            </w:r>
          </w:p>
        </w:tc>
      </w:tr>
      <w:tr>
        <w:tblPrEx>
          <w:tblW w:w="8495" w:type="dxa"/>
          <w:jc w:val="center"/>
          <w:shd w:val="clear" w:color="auto" w:fill="auto"/>
          <w:tblCellMar>
            <w:top w:w="15" w:type="dxa"/>
            <w:left w:w="15" w:type="dxa"/>
            <w:bottom w:w="15" w:type="dxa"/>
            <w:right w:w="15" w:type="dxa"/>
          </w:tblCellMar>
        </w:tblPrEx>
        <w:trPr>
          <w:trHeight w:val="0"/>
          <w:jc w:val="center"/>
        </w:trPr>
        <w:tc>
          <w:tcPr>
            <w:tcW w:w="171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退回</w:t>
            </w:r>
          </w:p>
        </w:tc>
        <w:tc>
          <w:tcPr>
            <w:tcW w:w="678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事件分配不当，退回服务台重新分派</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18962"/>
      <w:r>
        <w:rPr>
          <w:rFonts w:hint="default"/>
          <w:lang w:val="en-US" w:eastAsia="zh-CN"/>
        </w:rPr>
        <w:t>事件处理流程</w:t>
      </w:r>
      <w:bookmarkEnd w:id="2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28201"/>
      <w:r>
        <w:rPr>
          <w:rFonts w:hint="default"/>
          <w:lang w:val="en-US" w:eastAsia="zh-CN"/>
        </w:rPr>
        <w:t>普通事件处理流程</w:t>
      </w:r>
      <w:bookmarkEnd w:id="29"/>
    </w:p>
    <w:p>
      <w:pPr>
        <w:pStyle w:val="a1"/>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0" w:name="_Toc19749"/>
      <w:r>
        <w:rPr>
          <w:rFonts w:hint="default"/>
          <w:lang w:val="en-US" w:eastAsia="zh-CN"/>
        </w:rPr>
        <w:t xml:space="preserve"> 普通事件处理流程图</w:t>
      </w:r>
      <w:bookmarkEnd w:id="30"/>
    </w:p>
    <w:p>
      <w:pPr>
        <w:pStyle w:val="a1"/>
        <w:bidi w:val="0"/>
        <w:jc w:val="center"/>
        <w:rPr>
          <w:rFonts w:hint="default"/>
          <w:lang w:val="en-US" w:eastAsia="zh-CN"/>
        </w:rPr>
      </w:pPr>
      <w:r>
        <w:drawing>
          <wp:inline distT="0" distB="0" distL="114300" distR="114300">
            <wp:extent cx="5267960" cy="4860290"/>
            <wp:effectExtent l="0" t="0" r="5080" b="1270"/>
            <wp:docPr id="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pic:cNvPicPr>
                      <a:picLocks noChangeAspect="1"/>
                    </pic:cNvPicPr>
                  </pic:nvPicPr>
                  <pic:blipFill>
                    <a:blip xmlns:r="http://schemas.openxmlformats.org/officeDocument/2006/relationships" r:embed="rId4"/>
                    <a:stretch>
                      <a:fillRect/>
                    </a:stretch>
                  </pic:blipFill>
                  <pic:spPr>
                    <a:xfrm>
                      <a:off x="0" y="0"/>
                      <a:ext cx="5267960" cy="4860290"/>
                    </a:xfrm>
                    <a:prstGeom prst="rect">
                      <a:avLst/>
                    </a:prstGeom>
                    <a:noFill/>
                    <a:ln>
                      <a:noFill/>
                    </a:ln>
                  </pic:spPr>
                </pic:pic>
              </a:graphicData>
            </a:graphic>
          </wp:inline>
        </w:drawing>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29073"/>
      <w:r>
        <w:rPr>
          <w:rFonts w:hint="default"/>
          <w:lang w:val="en-US" w:eastAsia="zh-CN"/>
        </w:rPr>
        <w:t>热线受理</w:t>
      </w:r>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客户通过电话、邮件、即时通讯工具等方式发起故障或服务请求，服务台人员收集相关信息，受理并进入事件处理流程。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服务台人员需要收集以下信息：</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来电客户的姓名、联系方式等基本信息；</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客户提出的问题描述及具体需求；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客户的期望解决时间；</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事件发生的具体时间、环境等信息。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31234"/>
      <w:r>
        <w:rPr>
          <w:rFonts w:hint="default"/>
          <w:lang w:val="en-US" w:eastAsia="zh-CN"/>
        </w:rPr>
        <w:t>请求记录和分类</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服务台人员在运维服务平台系统中登记事件信息，通过询问等方式获取详细的事件描述，然后根据描述判断事件的分类、级别等信息。记录内容包括：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事件编号（系统自动生成）；</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事件发生时间；</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事件描述；</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客户信息；</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初步判断的事件分类和级别。</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7313"/>
      <w:r>
        <w:rPr>
          <w:rFonts w:hint="default"/>
          <w:lang w:val="en-US" w:eastAsia="zh-CN"/>
        </w:rPr>
        <w:t>一线支持尝试解决</w:t>
      </w:r>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服务台人员受理事件后，首先根据客户描述的问题情况，利用知识库对客户进行相应的指导解决。一线支持可解决的事件包括：</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常见操作问题；</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简单配置问题；</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已知问题的标准解决方案；</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咨询服务类问题。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经一线人员尝试解决无果，或经判断不属于一线能力范围的，提交二线人员解决。</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1551"/>
      <w:r>
        <w:rPr>
          <w:rFonts w:hint="default"/>
          <w:lang w:val="en-US" w:eastAsia="zh-CN"/>
        </w:rPr>
        <w:t>二线支持处理</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运维工程师接到分派的事件后，首先判断是否属于自身能力范围：</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在能力范围内的，开始进行远程或现场服务解决事件；</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事件解决后，填写处理过程和解决方案；</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若无法解决或不在能力范围内，反馈给服务台重新分派。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运维工程师在规定时间内无法解决故障的，需联系三线人员协助解决。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事件解决后，事件负责人分析若属于影响重大或经常出现的问题，需要通过问题管理进行彻底解决的，转问题管理流程，参考《问题管理制度》。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4104"/>
      <w:r>
        <w:rPr>
          <w:rFonts w:hint="default"/>
          <w:lang w:val="en-US" w:eastAsia="zh-CN"/>
        </w:rPr>
        <w:t>三线支持处理</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技术中心工程师接到分派的事件后：</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进行调查诊断，制定解决方案；</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必要时联系原厂支持，进行技术会诊；</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三线人员在指定时限内不能解决的事件，需通告管理层，由管理层协调外部资源。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若事件处理过程中涉及一般、重大、紧急的变更，需转变更管理流程，参考《变更管理制度》。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9141"/>
      <w:r>
        <w:rPr>
          <w:rFonts w:hint="default"/>
          <w:lang w:val="en-US" w:eastAsia="zh-CN"/>
        </w:rPr>
        <w:t>工单结束</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事件解决后，由处理人员根据事件处理过程填写工单处理记录，包括：</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处理过程描述；</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解决方案；</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处理人；</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处理时间；</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消耗工时。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12995"/>
      <w:r>
        <w:rPr>
          <w:rFonts w:hint="default"/>
          <w:lang w:val="en-US" w:eastAsia="zh-CN"/>
        </w:rPr>
        <w:t>客户确认</w:t>
      </w:r>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事件处理完毕后，服务台需进行电话回访与客户确认：</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确认事件是否已解决；</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确认解决效果是否符合预期；</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收集客户对处理过程的满意度。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27431"/>
      <w:r>
        <w:rPr>
          <w:rFonts w:hint="default"/>
          <w:lang w:val="en-US" w:eastAsia="zh-CN"/>
        </w:rPr>
        <w:t>事件关闭</w:t>
      </w:r>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当事件处理结果已经客户确认，服务台将事件状态变更为“已关闭”。如为典型事件，由处理人员提交申请导入知识库，经知识库管理员同意后录入知识库中。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当事件处理后配置项属性需要变更时，由处理人员提交配置管理负责人进行配置项修改，参考《配置管理制度》。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1505"/>
      <w:r>
        <w:rPr>
          <w:rFonts w:hint="default"/>
          <w:lang w:val="en-US" w:eastAsia="zh-CN"/>
        </w:rPr>
        <w:t>客户回访</w:t>
      </w:r>
      <w:bookmarkEnd w:id="3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事件处理后5个工作日内，由服务台对客户进行回访，了解：</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事件是否再次发生；</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客户对服务的整体满意度；</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客户的改进建议。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2487"/>
      <w:r>
        <w:rPr>
          <w:rFonts w:hint="default"/>
          <w:lang w:val="en-US" w:eastAsia="zh-CN"/>
        </w:rPr>
        <w:t>紧急事件处理流程</w:t>
      </w:r>
      <w:bookmarkEnd w:id="4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25370"/>
      <w:r>
        <w:rPr>
          <w:rFonts w:hint="default"/>
          <w:lang w:val="en-US" w:eastAsia="zh-CN"/>
        </w:rPr>
        <w:t>紧急事件识别</w:t>
      </w:r>
      <w:bookmarkEnd w:id="4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当事件符合以下条件之一时，识别为紧急事件（一级事件）：</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核心业务系统完全不可用；</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影响范围超过80%用户；</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造成重大业务损失或安全风险；</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客户强烈投诉要求紧急处理。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15202"/>
      <w:r>
        <w:rPr>
          <w:rFonts w:hint="default"/>
          <w:lang w:val="en-US" w:eastAsia="zh-CN"/>
        </w:rPr>
        <w:t>事件识别与上报</w:t>
      </w:r>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服务台接收到事件服务申请，根据事件级别定义识别为一级事件时，需立即：</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记录事件基本信息；</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初步判断事件影响范围；</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立即向应急小组报告情况；</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每隔15分钟通报一次事件进展，直至事件关闭。</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403"/>
      <w:r>
        <w:rPr>
          <w:rFonts w:hint="default"/>
          <w:lang w:val="en-US" w:eastAsia="zh-CN"/>
        </w:rPr>
        <w:t>应急响应启动</w:t>
      </w:r>
      <w:bookmarkEnd w:id="43"/>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服务台同时向二线、三线工程师下发工单，要求立即响应；</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应急小组启动应急预案，统筹协调资源；</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提供现场所需的知识库、配置库、备件库相关信息。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15299"/>
      <w:r>
        <w:rPr>
          <w:rFonts w:hint="default"/>
          <w:lang w:val="en-US" w:eastAsia="zh-CN"/>
        </w:rPr>
        <w:t>方案制定与审核</w:t>
      </w:r>
      <w:bookmarkEnd w:id="44"/>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三线人员牵头制定应急处置方案；</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方案内容包括：处理步骤、回退计划、所需资源、预估时间；</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方案提交应急小组审核。</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2989"/>
      <w:r>
        <w:rPr>
          <w:rFonts w:hint="default"/>
          <w:lang w:val="en-US" w:eastAsia="zh-CN"/>
        </w:rPr>
        <w:t>方案实施</w:t>
      </w:r>
      <w:bookmarkEnd w:id="45"/>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审核通过后，由现场运维工程师进行实施；</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三线人员监督并指导实施过程；</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实施过程中如遇问题，及时反馈调整方案。</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29243"/>
      <w:r>
        <w:rPr>
          <w:rFonts w:hint="default"/>
          <w:lang w:val="en-US" w:eastAsia="zh-CN"/>
        </w:rPr>
        <w:t>效果评审</w:t>
      </w:r>
      <w:bookmarkEnd w:id="46"/>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实施完成后，由三线人员对实施效果进行评审；</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出具评审报告，确认事件是否已解决；</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评审报告提交至服务台和应急小组。</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2878"/>
      <w:r>
        <w:rPr>
          <w:rFonts w:hint="default"/>
          <w:lang w:val="en-US" w:eastAsia="zh-CN"/>
        </w:rPr>
        <w:t>客户回访与事件关闭</w:t>
      </w:r>
      <w:bookmarkEnd w:id="47"/>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服务台接收评审报告并转发给应急小组；</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服务台回访用户，确认事件已解决；</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客户确认后关闭事件。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14974"/>
      <w:r>
        <w:rPr>
          <w:rFonts w:hint="default"/>
          <w:lang w:val="en-US" w:eastAsia="zh-CN"/>
        </w:rPr>
        <w:t>事后处理</w:t>
      </w:r>
      <w:bookmarkEnd w:id="48"/>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运维工程师对工单处理过程进行完整记录；</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更新此次服务中所产生的知识条目、配置信息、备件信息；</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应急小组组织复盘分析，形成复盘报告；</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将改进措施纳入相关制度和流程。</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24244"/>
      <w:r>
        <w:rPr>
          <w:rFonts w:hint="default"/>
          <w:lang w:val="en-US" w:eastAsia="zh-CN"/>
        </w:rPr>
        <w:t>过程质量控制</w:t>
      </w:r>
      <w:bookmarkEnd w:id="4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0" w:name="_Toc11467"/>
      <w:r>
        <w:rPr>
          <w:rFonts w:hint="default"/>
          <w:lang w:val="en-US" w:eastAsia="zh-CN"/>
        </w:rPr>
        <w:t xml:space="preserve"> 过程质量控制流程表</w:t>
      </w:r>
      <w:bookmarkEnd w:id="5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21"/>
        <w:gridCol w:w="1184"/>
        <w:gridCol w:w="3170"/>
        <w:gridCol w:w="1557"/>
        <w:gridCol w:w="99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62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w:t>
            </w:r>
          </w:p>
        </w:tc>
        <w:tc>
          <w:tcPr>
            <w:tcW w:w="118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输入</w:t>
            </w:r>
          </w:p>
        </w:tc>
        <w:tc>
          <w:tcPr>
            <w:tcW w:w="3170"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步骤描述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c>
          <w:tcPr>
            <w:tcW w:w="99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负责人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2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1.现有过程评估</w:t>
            </w:r>
          </w:p>
        </w:tc>
        <w:tc>
          <w:tcPr>
            <w:tcW w:w="118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KPI报告、服务改进计划</w:t>
            </w:r>
          </w:p>
        </w:tc>
        <w:tc>
          <w:tcPr>
            <w:tcW w:w="317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对事件管理过程的KPI完成情况进行分析；</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对客户及内部提出的与事件管理过程相关的问题、建议和改进计划进行讨论回顾；</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对事件管理过程正在进行的服务改进计划完成情况进行回顾。</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改进项、回顾会议纪要</w:t>
            </w:r>
          </w:p>
        </w:tc>
        <w:tc>
          <w:tcPr>
            <w:tcW w:w="99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2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2.制定改进计划</w:t>
            </w:r>
          </w:p>
        </w:tc>
        <w:tc>
          <w:tcPr>
            <w:tcW w:w="118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改进项、回顾会议纪要</w:t>
            </w:r>
          </w:p>
        </w:tc>
        <w:tc>
          <w:tcPr>
            <w:tcW w:w="317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根据回顾结果制定改进计划，计划包括：改进项、需求、改进方案、改进计划周期、时间、特殊要素及收益、可能造成的影响、资源需求、测试和培训计划。</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改进计划</w:t>
            </w:r>
          </w:p>
        </w:tc>
        <w:tc>
          <w:tcPr>
            <w:tcW w:w="99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2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3.审批改进计划</w:t>
            </w:r>
          </w:p>
        </w:tc>
        <w:tc>
          <w:tcPr>
            <w:tcW w:w="118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改进计划</w:t>
            </w:r>
          </w:p>
        </w:tc>
        <w:tc>
          <w:tcPr>
            <w:tcW w:w="317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对是否执行改进计划进行评估；</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根据已确认执行的改进计划提交变更请求；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依据变更管理过程进行审批。</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审批后的改进计划、变更请求</w:t>
            </w:r>
          </w:p>
        </w:tc>
        <w:tc>
          <w:tcPr>
            <w:tcW w:w="99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质量部、运维部、管理层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2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4.执行改进计划</w:t>
            </w:r>
          </w:p>
        </w:tc>
        <w:tc>
          <w:tcPr>
            <w:tcW w:w="118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被批准的改进计划和变更请求</w:t>
            </w:r>
          </w:p>
        </w:tc>
        <w:tc>
          <w:tcPr>
            <w:tcW w:w="317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调动资源组织相关人员依据计划执行被批准的改进计划和变更请求。</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实施后的改进计划、改进效果</w:t>
            </w:r>
          </w:p>
        </w:tc>
        <w:tc>
          <w:tcPr>
            <w:tcW w:w="99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2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5.回顾</w:t>
            </w:r>
          </w:p>
        </w:tc>
        <w:tc>
          <w:tcPr>
            <w:tcW w:w="118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实施后的改进计划、改进结果</w:t>
            </w:r>
          </w:p>
        </w:tc>
        <w:tc>
          <w:tcPr>
            <w:tcW w:w="317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对改进后的结果进行回顾，评估改进计划是否成功，存在哪些待改进项。依据PDCA方法论再次执行步骤1，对过程进行持续改进。</w:t>
            </w:r>
          </w:p>
        </w:tc>
        <w:tc>
          <w:tcPr>
            <w:tcW w:w="155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回顾结果、关闭的变更请求和服务改进计划</w:t>
            </w:r>
          </w:p>
        </w:tc>
        <w:tc>
          <w:tcPr>
            <w:tcW w:w="99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质量部、运维部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1" w:name="_Toc14788"/>
      <w:r>
        <w:rPr>
          <w:rFonts w:hint="default"/>
          <w:lang w:val="en-US" w:eastAsia="zh-CN"/>
        </w:rPr>
        <w:t>KPI指标</w:t>
      </w:r>
      <w:bookmarkEnd w:id="51"/>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18459"/>
      <w:r>
        <w:rPr>
          <w:rFonts w:hint="default"/>
          <w:lang w:val="en-US" w:eastAsia="zh-CN"/>
        </w:rPr>
        <w:t xml:space="preserve"> KPI指标表</w:t>
      </w:r>
      <w:bookmarkEnd w:id="52"/>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63"/>
        <w:gridCol w:w="5000"/>
        <w:gridCol w:w="997"/>
        <w:gridCol w:w="106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6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bookmarkStart w:id="53" w:name="_GoBack"/>
            <w:bookmarkEnd w:id="53"/>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5006"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98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6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6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事件解决率</w:t>
            </w:r>
          </w:p>
        </w:tc>
        <w:tc>
          <w:tcPr>
            <w:tcW w:w="500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（成功解决事件数 / 已关闭事件总数）×100%</w:t>
            </w:r>
          </w:p>
        </w:tc>
        <w:tc>
          <w:tcPr>
            <w:tcW w:w="98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≥95%</w:t>
            </w:r>
          </w:p>
        </w:tc>
        <w:tc>
          <w:tcPr>
            <w:tcW w:w="106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6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一线解决率</w:t>
            </w:r>
          </w:p>
        </w:tc>
        <w:tc>
          <w:tcPr>
            <w:tcW w:w="500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（一线解决事件数 / 事件总数）×100%</w:t>
            </w:r>
          </w:p>
        </w:tc>
        <w:tc>
          <w:tcPr>
            <w:tcW w:w="98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≥70%</w:t>
            </w:r>
          </w:p>
        </w:tc>
        <w:tc>
          <w:tcPr>
            <w:tcW w:w="106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月度</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4" w:name="_Toc13870"/>
      <w:r>
        <w:rPr>
          <w:rFonts w:hint="default"/>
          <w:lang w:val="en-US" w:eastAsia="zh-CN"/>
        </w:rPr>
        <w:t>相关记录</w:t>
      </w:r>
      <w:bookmarkEnd w:id="54"/>
    </w:p>
    <w:p>
      <w:pPr>
        <w:rPr>
          <w:rFonts w:hint="default"/>
          <w:lang w:val="en-US" w:eastAsia="zh-CN"/>
        </w:rPr>
      </w:pPr>
      <w:r>
        <w:rPr>
          <w:rFonts w:hint="default"/>
          <w:lang w:val="en-US" w:eastAsia="zh-CN"/>
        </w:rPr>
        <w:br w:type="page"/>
      </w:r>
    </w:p>
    <w:p>
      <w:pPr>
        <w:pStyle w:val="a1"/>
        <w:rPr>
          <w:rFonts w:hint="default"/>
          <w:lang w:val="en-US" w:eastAsia="zh-CN"/>
        </w:rPr>
      </w:pP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5" w:name="_Toc32676"/>
      <w:r>
        <w:rPr>
          <w:rFonts w:hint="default"/>
          <w:lang w:val="en-US" w:eastAsia="zh-CN"/>
        </w:rPr>
        <w:t xml:space="preserve"> 相关记录表</w:t>
      </w:r>
      <w:bookmarkEnd w:id="5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3610"/>
        <w:gridCol w:w="2442"/>
        <w:gridCol w:w="244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244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事件工单记录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事件处理记录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客户回访记录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重大事件复盘报告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事件统计分析报告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361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事件管理评审记录</w:t>
            </w:r>
          </w:p>
        </w:tc>
        <w:tc>
          <w:tcPr>
            <w:tcW w:w="244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c>
          <w:tcPr>
            <w:tcW w:w="244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DCEA25"/>
    <w:multiLevelType w:val="singleLevel"/>
    <w:tmpl w:val="81DCEA25"/>
    <w:lvl w:ilvl="0">
      <w:start w:val="1"/>
      <w:numFmt w:val="decimal"/>
      <w:lvlText w:val="%1."/>
      <w:lvlJc w:val="left"/>
      <w:pPr>
        <w:ind w:left="425" w:hanging="425"/>
      </w:pPr>
      <w:rPr>
        <w:rFonts w:hint="default"/>
      </w:rPr>
    </w:lvl>
  </w:abstractNum>
  <w:abstractNum w:abstractNumId="1">
    <w:nsid w:val="8AA3919B"/>
    <w:multiLevelType w:val="singleLevel"/>
    <w:tmpl w:val="8AA3919B"/>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65E4896"/>
    <w:multiLevelType w:val="singleLevel"/>
    <w:tmpl w:val="965E4896"/>
    <w:lvl w:ilvl="0">
      <w:start w:val="1"/>
      <w:numFmt w:val="decimal"/>
      <w:lvlText w:val="%1."/>
      <w:lvlJc w:val="left"/>
      <w:pPr>
        <w:ind w:left="425" w:hanging="425"/>
      </w:pPr>
      <w:rPr>
        <w:rFonts w:hint="default"/>
      </w:rPr>
    </w:lvl>
  </w:abstractNum>
  <w:abstractNum w:abstractNumId="4">
    <w:nsid w:val="BF97CBE2"/>
    <w:multiLevelType w:val="singleLevel"/>
    <w:tmpl w:val="BF97CBE2"/>
    <w:lvl w:ilvl="0">
      <w:start w:val="1"/>
      <w:numFmt w:val="decimal"/>
      <w:lvlText w:val="%1."/>
      <w:lvlJc w:val="left"/>
      <w:pPr>
        <w:ind w:left="425" w:hanging="425"/>
      </w:pPr>
      <w:rPr>
        <w:rFonts w:hint="default"/>
      </w:rPr>
    </w:lvl>
  </w:abstractNum>
  <w:abstractNum w:abstractNumId="5">
    <w:nsid w:val="C33589BD"/>
    <w:multiLevelType w:val="singleLevel"/>
    <w:tmpl w:val="C33589BD"/>
    <w:lvl w:ilvl="0">
      <w:start w:val="1"/>
      <w:numFmt w:val="decimal"/>
      <w:lvlText w:val="%1."/>
      <w:lvlJc w:val="left"/>
      <w:pPr>
        <w:ind w:left="425" w:hanging="425"/>
      </w:pPr>
      <w:rPr>
        <w:rFonts w:hint="default"/>
      </w:rPr>
    </w:lvl>
  </w:abstractNum>
  <w:abstractNum w:abstractNumId="6">
    <w:nsid w:val="DB3B1862"/>
    <w:multiLevelType w:val="singleLevel"/>
    <w:tmpl w:val="DB3B1862"/>
    <w:lvl w:ilvl="0">
      <w:start w:val="1"/>
      <w:numFmt w:val="decimal"/>
      <w:lvlText w:val="%1."/>
      <w:lvlJc w:val="left"/>
      <w:pPr>
        <w:ind w:left="425" w:hanging="425"/>
      </w:pPr>
      <w:rPr>
        <w:rFonts w:hint="default"/>
      </w:rPr>
    </w:lvl>
  </w:abstractNum>
  <w:abstractNum w:abstractNumId="7">
    <w:nsid w:val="076C6FEC"/>
    <w:multiLevelType w:val="singleLevel"/>
    <w:tmpl w:val="076C6FEC"/>
    <w:lvl w:ilvl="0">
      <w:start w:val="1"/>
      <w:numFmt w:val="decimal"/>
      <w:lvlText w:val="%1."/>
      <w:lvlJc w:val="left"/>
      <w:pPr>
        <w:ind w:left="425" w:hanging="425"/>
      </w:pPr>
      <w:rPr>
        <w:rFonts w:hint="default"/>
      </w:rPr>
    </w:lvl>
  </w:abstractNum>
  <w:abstractNum w:abstractNumId="8">
    <w:nsid w:val="11D806C3"/>
    <w:multiLevelType w:val="singleLevel"/>
    <w:tmpl w:val="11D806C3"/>
    <w:lvl w:ilvl="0">
      <w:start w:val="1"/>
      <w:numFmt w:val="decimal"/>
      <w:lvlText w:val="%1."/>
      <w:lvlJc w:val="left"/>
      <w:pPr>
        <w:ind w:left="425" w:hanging="425"/>
      </w:pPr>
      <w:rPr>
        <w:rFonts w:hint="default"/>
      </w:rPr>
    </w:lvl>
  </w:abstractNum>
  <w:abstractNum w:abstractNumId="9">
    <w:nsid w:val="157DEFCE"/>
    <w:multiLevelType w:val="singleLevel"/>
    <w:tmpl w:val="157DEFCE"/>
    <w:lvl w:ilvl="0">
      <w:start w:val="1"/>
      <w:numFmt w:val="decimal"/>
      <w:lvlText w:val="%1."/>
      <w:lvlJc w:val="left"/>
      <w:pPr>
        <w:ind w:left="425" w:hanging="425"/>
      </w:pPr>
      <w:rPr>
        <w:rFonts w:hint="default"/>
      </w:rPr>
    </w:lvl>
  </w:abstractNum>
  <w:abstractNum w:abstractNumId="10">
    <w:nsid w:val="16B5A37A"/>
    <w:multiLevelType w:val="singleLevel"/>
    <w:tmpl w:val="16B5A37A"/>
    <w:lvl w:ilvl="0">
      <w:start w:val="1"/>
      <w:numFmt w:val="decimal"/>
      <w:lvlText w:val="%1."/>
      <w:lvlJc w:val="left"/>
      <w:pPr>
        <w:ind w:left="425" w:hanging="425"/>
      </w:pPr>
      <w:rPr>
        <w:rFonts w:hint="default"/>
      </w:rPr>
    </w:lvl>
  </w:abstractNum>
  <w:abstractNum w:abstractNumId="11">
    <w:nsid w:val="1E87FC05"/>
    <w:multiLevelType w:val="singleLevel"/>
    <w:tmpl w:val="1E87FC05"/>
    <w:lvl w:ilvl="0">
      <w:start w:val="1"/>
      <w:numFmt w:val="decimal"/>
      <w:lvlText w:val="%1."/>
      <w:lvlJc w:val="left"/>
      <w:pPr>
        <w:ind w:left="425" w:hanging="425"/>
      </w:pPr>
      <w:rPr>
        <w:rFonts w:hint="default"/>
      </w:rPr>
    </w:lvl>
  </w:abstractNum>
  <w:abstractNum w:abstractNumId="12">
    <w:nsid w:val="2DC04A18"/>
    <w:multiLevelType w:val="singleLevel"/>
    <w:tmpl w:val="2DC04A18"/>
    <w:lvl w:ilvl="0">
      <w:start w:val="1"/>
      <w:numFmt w:val="decimal"/>
      <w:lvlText w:val="%1."/>
      <w:lvlJc w:val="left"/>
      <w:pPr>
        <w:ind w:left="425" w:hanging="425"/>
      </w:pPr>
      <w:rPr>
        <w:rFonts w:hint="default"/>
      </w:rPr>
    </w:lvl>
  </w:abstractNum>
  <w:abstractNum w:abstractNumId="13">
    <w:nsid w:val="36CA5F8B"/>
    <w:multiLevelType w:val="singleLevel"/>
    <w:tmpl w:val="36CA5F8B"/>
    <w:lvl w:ilvl="0">
      <w:start w:val="1"/>
      <w:numFmt w:val="decimal"/>
      <w:lvlText w:val="%1."/>
      <w:lvlJc w:val="left"/>
      <w:pPr>
        <w:ind w:left="425" w:hanging="425"/>
      </w:pPr>
      <w:rPr>
        <w:rFonts w:hint="default"/>
      </w:rPr>
    </w:lvl>
  </w:abstractNum>
  <w:abstractNum w:abstractNumId="14">
    <w:nsid w:val="38D753F0"/>
    <w:multiLevelType w:val="singleLevel"/>
    <w:tmpl w:val="38D753F0"/>
    <w:lvl w:ilvl="0">
      <w:start w:val="1"/>
      <w:numFmt w:val="decimal"/>
      <w:lvlText w:val="%1."/>
      <w:lvlJc w:val="left"/>
      <w:pPr>
        <w:ind w:left="425" w:hanging="425"/>
      </w:pPr>
      <w:rPr>
        <w:rFonts w:hint="default"/>
      </w:rPr>
    </w:lvl>
  </w:abstractNum>
  <w:abstractNum w:abstractNumId="15">
    <w:nsid w:val="5C7DB26E"/>
    <w:multiLevelType w:val="singleLevel"/>
    <w:tmpl w:val="5C7DB26E"/>
    <w:lvl w:ilvl="0">
      <w:start w:val="1"/>
      <w:numFmt w:val="decimal"/>
      <w:lvlText w:val="%1."/>
      <w:lvlJc w:val="left"/>
      <w:pPr>
        <w:ind w:left="425" w:hanging="425"/>
      </w:pPr>
      <w:rPr>
        <w:rFonts w:hint="default"/>
      </w:rPr>
    </w:lvl>
  </w:abstractNum>
  <w:abstractNum w:abstractNumId="16">
    <w:nsid w:val="6AF7D83F"/>
    <w:multiLevelType w:val="singleLevel"/>
    <w:tmpl w:val="6AF7D83F"/>
    <w:lvl w:ilvl="0">
      <w:start w:val="1"/>
      <w:numFmt w:val="decimal"/>
      <w:lvlText w:val="%1."/>
      <w:lvlJc w:val="left"/>
      <w:pPr>
        <w:ind w:left="425" w:hanging="425"/>
      </w:pPr>
      <w:rPr>
        <w:rFonts w:hint="default"/>
      </w:rPr>
    </w:lvl>
  </w:abstractNum>
  <w:abstractNum w:abstractNumId="17">
    <w:nsid w:val="6C9ECE4C"/>
    <w:multiLevelType w:val="singleLevel"/>
    <w:tmpl w:val="6C9ECE4C"/>
    <w:lvl w:ilvl="0">
      <w:start w:val="1"/>
      <w:numFmt w:val="decimal"/>
      <w:lvlText w:val="%1."/>
      <w:lvlJc w:val="left"/>
      <w:pPr>
        <w:ind w:left="425" w:hanging="425"/>
      </w:pPr>
      <w:rPr>
        <w:rFonts w:hint="default"/>
      </w:rPr>
    </w:lvl>
  </w:abstractNum>
  <w:abstractNum w:abstractNumId="18">
    <w:nsid w:val="6E12F19B"/>
    <w:multiLevelType w:val="singleLevel"/>
    <w:tmpl w:val="6E12F19B"/>
    <w:lvl w:ilvl="0">
      <w:start w:val="1"/>
      <w:numFmt w:val="decimal"/>
      <w:lvlText w:val="%1."/>
      <w:lvlJc w:val="left"/>
      <w:pPr>
        <w:ind w:left="425" w:hanging="425"/>
      </w:pPr>
      <w:rPr>
        <w:rFonts w:hint="default"/>
      </w:rPr>
    </w:lvl>
  </w:abstractNum>
  <w:num w:numId="1">
    <w:abstractNumId w:val="2"/>
  </w:num>
  <w:num w:numId="2">
    <w:abstractNumId w:val="18"/>
  </w:num>
  <w:num w:numId="3">
    <w:abstractNumId w:val="4"/>
  </w:num>
  <w:num w:numId="4">
    <w:abstractNumId w:val="10"/>
  </w:num>
  <w:num w:numId="5">
    <w:abstractNumId w:val="13"/>
  </w:num>
  <w:num w:numId="6">
    <w:abstractNumId w:val="5"/>
  </w:num>
  <w:num w:numId="7">
    <w:abstractNumId w:val="9"/>
  </w:num>
  <w:num w:numId="8">
    <w:abstractNumId w:val="17"/>
  </w:num>
  <w:num w:numId="9">
    <w:abstractNumId w:val="8"/>
  </w:num>
  <w:num w:numId="10">
    <w:abstractNumId w:val="3"/>
  </w:num>
  <w:num w:numId="11">
    <w:abstractNumId w:val="11"/>
  </w:num>
  <w:num w:numId="12">
    <w:abstractNumId w:val="0"/>
  </w:num>
  <w:num w:numId="13">
    <w:abstractNumId w:val="1"/>
  </w:num>
  <w:num w:numId="14">
    <w:abstractNumId w:val="7"/>
  </w:num>
  <w:num w:numId="15">
    <w:abstractNumId w:val="15"/>
  </w:num>
  <w:num w:numId="16">
    <w:abstractNumId w:val="16"/>
  </w:num>
  <w:num w:numId="17">
    <w:abstractNumId w:val="12"/>
  </w:num>
  <w:num w:numId="18">
    <w:abstractNumId w:val="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17</Pages>
  <Words>1109</Words>
  <Characters>1373</Characters>
  <Application>Microsoft Office Word</Application>
  <DocSecurity>0</DocSecurity>
  <Lines>0</Lines>
  <Paragraphs>0</Paragraphs>
  <ScaleCrop>false</ScaleCrop>
  <Company/>
  <LinksUpToDate>false</LinksUpToDate>
  <CharactersWithSpaces>1595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2026-03-18T17:47:24Z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