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54B2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38" w:name="_GoBack"/>
      <w:bookmarkEnd w:id="38"/>
      <w:bookmarkStart w:id="0" w:name="_Toc4165"/>
      <w:r>
        <w:rPr>
          <w:rFonts w:hint="eastAsia"/>
          <w:lang w:val="en-US" w:eastAsia="zh-CN"/>
        </w:rPr>
        <w:t>北京新都远景网络技术有限公司</w:t>
      </w:r>
      <w:bookmarkEnd w:id="0"/>
    </w:p>
    <w:p w14:paraId="439B8F5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2126"/>
      <w:r>
        <w:rPr>
          <w:rFonts w:hint="eastAsia"/>
          <w:lang w:val="en-US" w:eastAsia="zh-CN"/>
        </w:rPr>
        <w:t>运维服务目录管理制度</w:t>
      </w:r>
      <w:bookmarkEnd w:id="1"/>
    </w:p>
    <w:p w14:paraId="60A2CBF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F271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099E70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4DAE48F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924D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9C99BF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C799DAD">
            <w:pPr>
              <w:keepNext w:val="0"/>
              <w:keepLines w:val="0"/>
              <w:pageBreakBefore w:val="0"/>
              <w:widowControl w:val="0"/>
              <w:kinsoku w:val="0"/>
              <w:wordWrap/>
              <w:overflowPunct/>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4F69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E50D8F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0"/>
                <w:kern w:val="0"/>
                <w:sz w:val="21"/>
                <w:u w:val="single"/>
                <w:vertAlign w:val="baseline"/>
                <w:lang w:val="en-US" w:eastAsia="zh-CN"/>
              </w:rPr>
              <w:t>孙玥</w:t>
            </w:r>
          </w:p>
        </w:tc>
        <w:tc>
          <w:tcPr>
            <w:tcW w:w="2708" w:type="dxa"/>
          </w:tcPr>
          <w:p w14:paraId="3A11FCD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D2D101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FD0F1EE">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6492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B0F42BE">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B11DEF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8453E3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1C77246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0AAF1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5123D3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0B0C9E8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A15E08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240" w:type="dxa"/>
          </w:tcPr>
          <w:p w14:paraId="1CC81DA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孙玥</w:t>
            </w:r>
          </w:p>
        </w:tc>
      </w:tr>
      <w:tr w14:paraId="0E0149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E7093B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D3B1B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13295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3AE00E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79B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95E30D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E4A678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46D15A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EF9BC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2FC7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5C22D1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CBAA2F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B1BC19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40DC3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A0822B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DDACFC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B81FF9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_Toc4165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_Toc4165 \h </w:instrText>
          </w:r>
          <w:r>
            <w:fldChar w:fldCharType="separate"/>
          </w:r>
          <w:r>
            <w:t>1</w:t>
          </w:r>
          <w:r>
            <w:fldChar w:fldCharType="end"/>
          </w:r>
          <w:r>
            <w:rPr>
              <w:rFonts w:hint="eastAsia" w:ascii="宋体" w:hAnsi="宋体" w:eastAsia="宋体" w:cs="宋体"/>
              <w:szCs w:val="24"/>
            </w:rPr>
            <w:fldChar w:fldCharType="end"/>
          </w:r>
        </w:p>
        <w:p w14:paraId="6D5E33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_Toc12126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_Toc12126 \h </w:instrText>
          </w:r>
          <w:r>
            <w:fldChar w:fldCharType="separate"/>
          </w:r>
          <w:r>
            <w:t>1</w:t>
          </w:r>
          <w:r>
            <w:fldChar w:fldCharType="end"/>
          </w:r>
          <w:r>
            <w:rPr>
              <w:rFonts w:hint="eastAsia" w:ascii="宋体" w:hAnsi="宋体" w:eastAsia="宋体" w:cs="宋体"/>
              <w:szCs w:val="24"/>
            </w:rPr>
            <w:fldChar w:fldCharType="end"/>
          </w:r>
        </w:p>
        <w:p w14:paraId="2B162B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_Toc8242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_Toc8242 \h </w:instrText>
          </w:r>
          <w:r>
            <w:fldChar w:fldCharType="separate"/>
          </w:r>
          <w:r>
            <w:t>5</w:t>
          </w:r>
          <w:r>
            <w:fldChar w:fldCharType="end"/>
          </w:r>
          <w:r>
            <w:rPr>
              <w:rFonts w:hint="eastAsia" w:ascii="宋体" w:hAnsi="宋体" w:eastAsia="宋体" w:cs="宋体"/>
              <w:szCs w:val="24"/>
            </w:rPr>
            <w:fldChar w:fldCharType="end"/>
          </w:r>
        </w:p>
        <w:p w14:paraId="72E21F3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_Toc20044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_Toc20044 \h </w:instrText>
          </w:r>
          <w:r>
            <w:fldChar w:fldCharType="separate"/>
          </w:r>
          <w:r>
            <w:t>5</w:t>
          </w:r>
          <w:r>
            <w:fldChar w:fldCharType="end"/>
          </w:r>
          <w:r>
            <w:rPr>
              <w:rFonts w:hint="eastAsia" w:ascii="宋体" w:hAnsi="宋体" w:eastAsia="宋体" w:cs="宋体"/>
              <w:szCs w:val="24"/>
            </w:rPr>
            <w:fldChar w:fldCharType="end"/>
          </w:r>
        </w:p>
        <w:p w14:paraId="509244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_Toc16749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_Toc16749 \h </w:instrText>
          </w:r>
          <w:r>
            <w:fldChar w:fldCharType="separate"/>
          </w:r>
          <w:r>
            <w:t>5</w:t>
          </w:r>
          <w:r>
            <w:fldChar w:fldCharType="end"/>
          </w:r>
          <w:r>
            <w:rPr>
              <w:rFonts w:hint="eastAsia" w:ascii="宋体" w:hAnsi="宋体" w:eastAsia="宋体" w:cs="宋体"/>
              <w:szCs w:val="24"/>
            </w:rPr>
            <w:fldChar w:fldCharType="end"/>
          </w:r>
        </w:p>
        <w:p w14:paraId="7D36455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_Toc12847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_Toc12847 \h </w:instrText>
          </w:r>
          <w:r>
            <w:fldChar w:fldCharType="separate"/>
          </w:r>
          <w:r>
            <w:t>5</w:t>
          </w:r>
          <w:r>
            <w:fldChar w:fldCharType="end"/>
          </w:r>
          <w:r>
            <w:rPr>
              <w:rFonts w:hint="eastAsia" w:ascii="宋体" w:hAnsi="宋体" w:eastAsia="宋体" w:cs="宋体"/>
              <w:szCs w:val="24"/>
            </w:rPr>
            <w:fldChar w:fldCharType="end"/>
          </w:r>
        </w:p>
        <w:p w14:paraId="78CD3E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_Toc31271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_Toc31271 \h </w:instrText>
          </w:r>
          <w:r>
            <w:fldChar w:fldCharType="separate"/>
          </w:r>
          <w:r>
            <w:t>5</w:t>
          </w:r>
          <w:r>
            <w:fldChar w:fldCharType="end"/>
          </w:r>
          <w:r>
            <w:rPr>
              <w:rFonts w:hint="eastAsia" w:ascii="宋体" w:hAnsi="宋体" w:eastAsia="宋体" w:cs="宋体"/>
              <w:szCs w:val="24"/>
            </w:rPr>
            <w:fldChar w:fldCharType="end"/>
          </w:r>
        </w:p>
        <w:p w14:paraId="5B03527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_Toc10617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总经理</w:t>
          </w:r>
          <w:r>
            <w:tab/>
          </w:r>
          <w:r>
            <w:fldChar w:fldCharType="begin"/>
          </w:r>
          <w:r>
            <w:instrText xml:space="preserve"> PAGEREF _Toc10617 \h </w:instrText>
          </w:r>
          <w:r>
            <w:fldChar w:fldCharType="separate"/>
          </w:r>
          <w:r>
            <w:t>5</w:t>
          </w:r>
          <w:r>
            <w:fldChar w:fldCharType="end"/>
          </w:r>
          <w:r>
            <w:rPr>
              <w:rFonts w:hint="eastAsia" w:ascii="宋体" w:hAnsi="宋体" w:eastAsia="宋体" w:cs="宋体"/>
              <w:szCs w:val="24"/>
            </w:rPr>
            <w:fldChar w:fldCharType="end"/>
          </w:r>
        </w:p>
        <w:p w14:paraId="16E9624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_Toc17414 </w:instrText>
          </w:r>
          <w:r>
            <w:rPr>
              <w:rFonts w:hint="eastAsia" w:ascii="宋体" w:hAnsi="宋体" w:eastAsia="宋体" w:cs="宋体"/>
              <w:szCs w:val="24"/>
            </w:rPr>
            <w:fldChar w:fldCharType="separate"/>
          </w:r>
          <w:r>
            <w:rPr>
              <w:rFonts w:hint="default"/>
              <w:lang w:val="en-US" w:eastAsia="zh-CN"/>
            </w:rPr>
            <w:t>1.4.2. 管理者代表</w:t>
          </w:r>
          <w:r>
            <w:tab/>
          </w:r>
          <w:r>
            <w:fldChar w:fldCharType="begin"/>
          </w:r>
          <w:r>
            <w:instrText xml:space="preserve"> PAGEREF _Toc17414 \h </w:instrText>
          </w:r>
          <w:r>
            <w:fldChar w:fldCharType="separate"/>
          </w:r>
          <w:r>
            <w:t>5</w:t>
          </w:r>
          <w:r>
            <w:fldChar w:fldCharType="end"/>
          </w:r>
          <w:r>
            <w:rPr>
              <w:rFonts w:hint="eastAsia" w:ascii="宋体" w:hAnsi="宋体" w:eastAsia="宋体" w:cs="宋体"/>
              <w:szCs w:val="24"/>
            </w:rPr>
            <w:fldChar w:fldCharType="end"/>
          </w:r>
        </w:p>
        <w:p w14:paraId="75B6AAC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 </w:instrText>
          </w:r>
          <w:r>
            <w:rPr>
              <w:rFonts w:hint="eastAsia" w:ascii="宋体" w:hAnsi="宋体" w:eastAsia="宋体" w:cs="宋体"/>
              <w:szCs w:val="24"/>
            </w:rPr>
            <w:fldChar w:fldCharType="separate"/>
          </w:r>
          <w:r>
            <w:rPr>
              <w:rFonts w:hint="default"/>
              <w:lang w:val="en-US" w:eastAsia="zh-CN"/>
            </w:rPr>
            <w:t>1.4.3. 运维管理部</w:t>
          </w:r>
          <w:r>
            <w:tab/>
          </w:r>
          <w:r>
            <w:fldChar w:fldCharType="begin"/>
          </w:r>
          <w:r>
            <w:instrText xml:space="preserve"> PAGEREF _Toc69 \h </w:instrText>
          </w:r>
          <w:r>
            <w:fldChar w:fldCharType="separate"/>
          </w:r>
          <w:r>
            <w:t>6</w:t>
          </w:r>
          <w:r>
            <w:fldChar w:fldCharType="end"/>
          </w:r>
          <w:r>
            <w:rPr>
              <w:rFonts w:hint="eastAsia" w:ascii="宋体" w:hAnsi="宋体" w:eastAsia="宋体" w:cs="宋体"/>
              <w:szCs w:val="24"/>
            </w:rPr>
            <w:fldChar w:fldCharType="end"/>
          </w:r>
        </w:p>
        <w:p w14:paraId="794CA63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_Toc22399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人力资源部</w:t>
          </w:r>
          <w:r>
            <w:tab/>
          </w:r>
          <w:r>
            <w:fldChar w:fldCharType="begin"/>
          </w:r>
          <w:r>
            <w:instrText xml:space="preserve"> PAGEREF _Toc22399 \h </w:instrText>
          </w:r>
          <w:r>
            <w:fldChar w:fldCharType="separate"/>
          </w:r>
          <w:r>
            <w:t>6</w:t>
          </w:r>
          <w:r>
            <w:fldChar w:fldCharType="end"/>
          </w:r>
          <w:r>
            <w:rPr>
              <w:rFonts w:hint="eastAsia" w:ascii="宋体" w:hAnsi="宋体" w:eastAsia="宋体" w:cs="宋体"/>
              <w:szCs w:val="24"/>
            </w:rPr>
            <w:fldChar w:fldCharType="end"/>
          </w:r>
        </w:p>
        <w:p w14:paraId="52E1D30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_Toc24283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_Toc24283 \h </w:instrText>
          </w:r>
          <w:r>
            <w:fldChar w:fldCharType="separate"/>
          </w:r>
          <w:r>
            <w:t>6</w:t>
          </w:r>
          <w:r>
            <w:fldChar w:fldCharType="end"/>
          </w:r>
          <w:r>
            <w:rPr>
              <w:rFonts w:hint="eastAsia" w:ascii="宋体" w:hAnsi="宋体" w:eastAsia="宋体" w:cs="宋体"/>
              <w:szCs w:val="24"/>
            </w:rPr>
            <w:fldChar w:fldCharType="end"/>
          </w:r>
        </w:p>
        <w:p w14:paraId="08751C6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_Toc20186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_Toc20186 \h </w:instrText>
          </w:r>
          <w:r>
            <w:fldChar w:fldCharType="separate"/>
          </w:r>
          <w:r>
            <w:t>6</w:t>
          </w:r>
          <w:r>
            <w:fldChar w:fldCharType="end"/>
          </w:r>
          <w:r>
            <w:rPr>
              <w:rFonts w:hint="eastAsia" w:ascii="宋体" w:hAnsi="宋体" w:eastAsia="宋体" w:cs="宋体"/>
              <w:szCs w:val="24"/>
            </w:rPr>
            <w:fldChar w:fldCharType="end"/>
          </w:r>
        </w:p>
        <w:p w14:paraId="1EA699B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_Toc9493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_Toc9493 \h </w:instrText>
          </w:r>
          <w:r>
            <w:fldChar w:fldCharType="separate"/>
          </w:r>
          <w:r>
            <w:t>7</w:t>
          </w:r>
          <w:r>
            <w:fldChar w:fldCharType="end"/>
          </w:r>
          <w:r>
            <w:rPr>
              <w:rFonts w:hint="eastAsia" w:ascii="宋体" w:hAnsi="宋体" w:eastAsia="宋体" w:cs="宋体"/>
              <w:szCs w:val="24"/>
            </w:rPr>
            <w:fldChar w:fldCharType="end"/>
          </w:r>
        </w:p>
        <w:p w14:paraId="3281FC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_Toc18034 </w:instrText>
          </w:r>
          <w:r>
            <w:rPr>
              <w:rFonts w:hint="eastAsia" w:ascii="宋体" w:hAnsi="宋体" w:eastAsia="宋体" w:cs="宋体"/>
              <w:szCs w:val="24"/>
            </w:rPr>
            <w:fldChar w:fldCharType="separate"/>
          </w:r>
          <w:r>
            <w:rPr>
              <w:rFonts w:hint="default"/>
              <w:lang w:val="en-US" w:eastAsia="zh-CN"/>
            </w:rPr>
            <w:t>4.1. 服务目录的建立</w:t>
          </w:r>
          <w:r>
            <w:tab/>
          </w:r>
          <w:r>
            <w:fldChar w:fldCharType="begin"/>
          </w:r>
          <w:r>
            <w:instrText xml:space="preserve"> PAGEREF _Toc18034 \h </w:instrText>
          </w:r>
          <w:r>
            <w:fldChar w:fldCharType="separate"/>
          </w:r>
          <w:r>
            <w:t>7</w:t>
          </w:r>
          <w:r>
            <w:fldChar w:fldCharType="end"/>
          </w:r>
          <w:r>
            <w:rPr>
              <w:rFonts w:hint="eastAsia" w:ascii="宋体" w:hAnsi="宋体" w:eastAsia="宋体" w:cs="宋体"/>
              <w:szCs w:val="24"/>
            </w:rPr>
            <w:fldChar w:fldCharType="end"/>
          </w:r>
        </w:p>
        <w:p w14:paraId="092CA5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_Toc29215 </w:instrText>
          </w:r>
          <w:r>
            <w:rPr>
              <w:rFonts w:hint="eastAsia" w:ascii="宋体" w:hAnsi="宋体" w:eastAsia="宋体" w:cs="宋体"/>
              <w:szCs w:val="24"/>
            </w:rPr>
            <w:fldChar w:fldCharType="separate"/>
          </w:r>
          <w:r>
            <w:rPr>
              <w:rFonts w:hint="default"/>
              <w:lang w:val="en-US" w:eastAsia="zh-CN"/>
            </w:rPr>
            <w:t>4.1.1. 策划</w:t>
          </w:r>
          <w:r>
            <w:tab/>
          </w:r>
          <w:r>
            <w:fldChar w:fldCharType="begin"/>
          </w:r>
          <w:r>
            <w:instrText xml:space="preserve"> PAGEREF _Toc29215 \h </w:instrText>
          </w:r>
          <w:r>
            <w:fldChar w:fldCharType="separate"/>
          </w:r>
          <w:r>
            <w:t>7</w:t>
          </w:r>
          <w:r>
            <w:fldChar w:fldCharType="end"/>
          </w:r>
          <w:r>
            <w:rPr>
              <w:rFonts w:hint="eastAsia" w:ascii="宋体" w:hAnsi="宋体" w:eastAsia="宋体" w:cs="宋体"/>
              <w:szCs w:val="24"/>
            </w:rPr>
            <w:fldChar w:fldCharType="end"/>
          </w:r>
        </w:p>
        <w:p w14:paraId="14A090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_Toc3066 </w:instrText>
          </w:r>
          <w:r>
            <w:rPr>
              <w:rFonts w:hint="eastAsia" w:ascii="宋体" w:hAnsi="宋体" w:eastAsia="宋体" w:cs="宋体"/>
              <w:szCs w:val="24"/>
            </w:rPr>
            <w:fldChar w:fldCharType="separate"/>
          </w:r>
          <w:r>
            <w:rPr>
              <w:rFonts w:hint="default"/>
              <w:lang w:val="en-US" w:eastAsia="zh-CN"/>
            </w:rPr>
            <w:t>4.1.2. 编制</w:t>
          </w:r>
          <w:r>
            <w:tab/>
          </w:r>
          <w:r>
            <w:fldChar w:fldCharType="begin"/>
          </w:r>
          <w:r>
            <w:instrText xml:space="preserve"> PAGEREF _Toc3066 \h </w:instrText>
          </w:r>
          <w:r>
            <w:fldChar w:fldCharType="separate"/>
          </w:r>
          <w:r>
            <w:t>7</w:t>
          </w:r>
          <w:r>
            <w:fldChar w:fldCharType="end"/>
          </w:r>
          <w:r>
            <w:rPr>
              <w:rFonts w:hint="eastAsia" w:ascii="宋体" w:hAnsi="宋体" w:eastAsia="宋体" w:cs="宋体"/>
              <w:szCs w:val="24"/>
            </w:rPr>
            <w:fldChar w:fldCharType="end"/>
          </w:r>
        </w:p>
        <w:p w14:paraId="5CEE68A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_Toc17207 </w:instrText>
          </w:r>
          <w:r>
            <w:rPr>
              <w:rFonts w:hint="eastAsia" w:ascii="宋体" w:hAnsi="宋体" w:eastAsia="宋体" w:cs="宋体"/>
              <w:szCs w:val="24"/>
            </w:rPr>
            <w:fldChar w:fldCharType="separate"/>
          </w:r>
          <w:r>
            <w:rPr>
              <w:rFonts w:hint="default"/>
              <w:lang w:val="en-US" w:eastAsia="zh-CN"/>
            </w:rPr>
            <w:t>4.1.3. 评审与批准</w:t>
          </w:r>
          <w:r>
            <w:tab/>
          </w:r>
          <w:r>
            <w:fldChar w:fldCharType="begin"/>
          </w:r>
          <w:r>
            <w:instrText xml:space="preserve"> PAGEREF _Toc17207 \h </w:instrText>
          </w:r>
          <w:r>
            <w:fldChar w:fldCharType="separate"/>
          </w:r>
          <w:r>
            <w:t>7</w:t>
          </w:r>
          <w:r>
            <w:fldChar w:fldCharType="end"/>
          </w:r>
          <w:r>
            <w:rPr>
              <w:rFonts w:hint="eastAsia" w:ascii="宋体" w:hAnsi="宋体" w:eastAsia="宋体" w:cs="宋体"/>
              <w:szCs w:val="24"/>
            </w:rPr>
            <w:fldChar w:fldCharType="end"/>
          </w:r>
        </w:p>
        <w:p w14:paraId="7B13CE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_Toc15554 </w:instrText>
          </w:r>
          <w:r>
            <w:rPr>
              <w:rFonts w:hint="eastAsia" w:ascii="宋体" w:hAnsi="宋体" w:eastAsia="宋体" w:cs="宋体"/>
              <w:szCs w:val="24"/>
            </w:rPr>
            <w:fldChar w:fldCharType="separate"/>
          </w:r>
          <w:r>
            <w:rPr>
              <w:rFonts w:hint="default"/>
              <w:lang w:val="en-US" w:eastAsia="zh-CN"/>
            </w:rPr>
            <w:t>4.2. 服务目录的维护与变更</w:t>
          </w:r>
          <w:r>
            <w:tab/>
          </w:r>
          <w:r>
            <w:fldChar w:fldCharType="begin"/>
          </w:r>
          <w:r>
            <w:instrText xml:space="preserve"> PAGEREF _Toc15554 \h </w:instrText>
          </w:r>
          <w:r>
            <w:fldChar w:fldCharType="separate"/>
          </w:r>
          <w:r>
            <w:t>7</w:t>
          </w:r>
          <w:r>
            <w:fldChar w:fldCharType="end"/>
          </w:r>
          <w:r>
            <w:rPr>
              <w:rFonts w:hint="eastAsia" w:ascii="宋体" w:hAnsi="宋体" w:eastAsia="宋体" w:cs="宋体"/>
              <w:szCs w:val="24"/>
            </w:rPr>
            <w:fldChar w:fldCharType="end"/>
          </w:r>
        </w:p>
        <w:p w14:paraId="0F4269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_Toc10573 </w:instrText>
          </w:r>
          <w:r>
            <w:rPr>
              <w:rFonts w:hint="eastAsia" w:ascii="宋体" w:hAnsi="宋体" w:eastAsia="宋体" w:cs="宋体"/>
              <w:szCs w:val="24"/>
            </w:rPr>
            <w:fldChar w:fldCharType="separate"/>
          </w:r>
          <w:r>
            <w:rPr>
              <w:rFonts w:hint="default"/>
              <w:lang w:val="en-US" w:eastAsia="zh-CN"/>
            </w:rPr>
            <w:t>4.2.1. 定期评审</w:t>
          </w:r>
          <w:r>
            <w:tab/>
          </w:r>
          <w:r>
            <w:fldChar w:fldCharType="begin"/>
          </w:r>
          <w:r>
            <w:instrText xml:space="preserve"> PAGEREF _Toc10573 \h </w:instrText>
          </w:r>
          <w:r>
            <w:fldChar w:fldCharType="separate"/>
          </w:r>
          <w:r>
            <w:t>7</w:t>
          </w:r>
          <w:r>
            <w:fldChar w:fldCharType="end"/>
          </w:r>
          <w:r>
            <w:rPr>
              <w:rFonts w:hint="eastAsia" w:ascii="宋体" w:hAnsi="宋体" w:eastAsia="宋体" w:cs="宋体"/>
              <w:szCs w:val="24"/>
            </w:rPr>
            <w:fldChar w:fldCharType="end"/>
          </w:r>
        </w:p>
        <w:p w14:paraId="6F83276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_Toc29526 </w:instrText>
          </w:r>
          <w:r>
            <w:rPr>
              <w:rFonts w:hint="eastAsia" w:ascii="宋体" w:hAnsi="宋体" w:eastAsia="宋体" w:cs="宋体"/>
              <w:szCs w:val="24"/>
            </w:rPr>
            <w:fldChar w:fldCharType="separate"/>
          </w:r>
          <w:r>
            <w:rPr>
              <w:rFonts w:hint="default"/>
              <w:lang w:val="en-US" w:eastAsia="zh-CN"/>
            </w:rPr>
            <w:t>4.2.2. 变更触发</w:t>
          </w:r>
          <w:r>
            <w:tab/>
          </w:r>
          <w:r>
            <w:fldChar w:fldCharType="begin"/>
          </w:r>
          <w:r>
            <w:instrText xml:space="preserve"> PAGEREF _Toc29526 \h </w:instrText>
          </w:r>
          <w:r>
            <w:fldChar w:fldCharType="separate"/>
          </w:r>
          <w:r>
            <w:t>7</w:t>
          </w:r>
          <w:r>
            <w:fldChar w:fldCharType="end"/>
          </w:r>
          <w:r>
            <w:rPr>
              <w:rFonts w:hint="eastAsia" w:ascii="宋体" w:hAnsi="宋体" w:eastAsia="宋体" w:cs="宋体"/>
              <w:szCs w:val="24"/>
            </w:rPr>
            <w:fldChar w:fldCharType="end"/>
          </w:r>
        </w:p>
        <w:p w14:paraId="6A9036C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_Toc21681 </w:instrText>
          </w:r>
          <w:r>
            <w:rPr>
              <w:rFonts w:hint="eastAsia" w:ascii="宋体" w:hAnsi="宋体" w:eastAsia="宋体" w:cs="宋体"/>
              <w:szCs w:val="24"/>
            </w:rPr>
            <w:fldChar w:fldCharType="separate"/>
          </w:r>
          <w:r>
            <w:rPr>
              <w:rFonts w:hint="default"/>
              <w:lang w:val="en-US" w:eastAsia="zh-CN"/>
            </w:rPr>
            <w:t>4.2.3. 变更控制</w:t>
          </w:r>
          <w:r>
            <w:tab/>
          </w:r>
          <w:r>
            <w:fldChar w:fldCharType="begin"/>
          </w:r>
          <w:r>
            <w:instrText xml:space="preserve"> PAGEREF _Toc21681 \h </w:instrText>
          </w:r>
          <w:r>
            <w:fldChar w:fldCharType="separate"/>
          </w:r>
          <w:r>
            <w:t>7</w:t>
          </w:r>
          <w:r>
            <w:fldChar w:fldCharType="end"/>
          </w:r>
          <w:r>
            <w:rPr>
              <w:rFonts w:hint="eastAsia" w:ascii="宋体" w:hAnsi="宋体" w:eastAsia="宋体" w:cs="宋体"/>
              <w:szCs w:val="24"/>
            </w:rPr>
            <w:fldChar w:fldCharType="end"/>
          </w:r>
        </w:p>
        <w:p w14:paraId="1A937D2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_Toc26350 </w:instrText>
          </w:r>
          <w:r>
            <w:rPr>
              <w:rFonts w:hint="eastAsia" w:ascii="宋体" w:hAnsi="宋体" w:eastAsia="宋体" w:cs="宋体"/>
              <w:szCs w:val="24"/>
            </w:rPr>
            <w:fldChar w:fldCharType="separate"/>
          </w:r>
          <w:r>
            <w:rPr>
              <w:rFonts w:hint="default"/>
              <w:lang w:val="en-US" w:eastAsia="zh-CN"/>
            </w:rPr>
            <w:t>4.3. 服务目录的使用</w:t>
          </w:r>
          <w:r>
            <w:tab/>
          </w:r>
          <w:r>
            <w:fldChar w:fldCharType="begin"/>
          </w:r>
          <w:r>
            <w:instrText xml:space="preserve"> PAGEREF _Toc26350 \h </w:instrText>
          </w:r>
          <w:r>
            <w:fldChar w:fldCharType="separate"/>
          </w:r>
          <w:r>
            <w:t>8</w:t>
          </w:r>
          <w:r>
            <w:fldChar w:fldCharType="end"/>
          </w:r>
          <w:r>
            <w:rPr>
              <w:rFonts w:hint="eastAsia" w:ascii="宋体" w:hAnsi="宋体" w:eastAsia="宋体" w:cs="宋体"/>
              <w:szCs w:val="24"/>
            </w:rPr>
            <w:fldChar w:fldCharType="end"/>
          </w:r>
        </w:p>
        <w:p w14:paraId="3031F1A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_Toc28471 </w:instrText>
          </w:r>
          <w:r>
            <w:rPr>
              <w:rFonts w:hint="eastAsia" w:ascii="宋体" w:hAnsi="宋体" w:eastAsia="宋体" w:cs="宋体"/>
              <w:szCs w:val="24"/>
            </w:rPr>
            <w:fldChar w:fldCharType="separate"/>
          </w:r>
          <w:r>
            <w:rPr>
              <w:rFonts w:hint="default"/>
              <w:lang w:val="en-US" w:eastAsia="zh-CN"/>
            </w:rPr>
            <w:t>4.3.1. 服务能力展示</w:t>
          </w:r>
          <w:r>
            <w:tab/>
          </w:r>
          <w:r>
            <w:fldChar w:fldCharType="begin"/>
          </w:r>
          <w:r>
            <w:instrText xml:space="preserve"> PAGEREF _Toc28471 \h </w:instrText>
          </w:r>
          <w:r>
            <w:fldChar w:fldCharType="separate"/>
          </w:r>
          <w:r>
            <w:t>8</w:t>
          </w:r>
          <w:r>
            <w:fldChar w:fldCharType="end"/>
          </w:r>
          <w:r>
            <w:rPr>
              <w:rFonts w:hint="eastAsia" w:ascii="宋体" w:hAnsi="宋体" w:eastAsia="宋体" w:cs="宋体"/>
              <w:szCs w:val="24"/>
            </w:rPr>
            <w:fldChar w:fldCharType="end"/>
          </w:r>
        </w:p>
        <w:p w14:paraId="6370274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_Toc13194 </w:instrText>
          </w:r>
          <w:r>
            <w:rPr>
              <w:rFonts w:hint="eastAsia" w:ascii="宋体" w:hAnsi="宋体" w:eastAsia="宋体" w:cs="宋体"/>
              <w:szCs w:val="24"/>
            </w:rPr>
            <w:fldChar w:fldCharType="separate"/>
          </w:r>
          <w:r>
            <w:rPr>
              <w:rFonts w:hint="default"/>
              <w:lang w:val="en-US" w:eastAsia="zh-CN"/>
            </w:rPr>
            <w:t>4.3.2. 服务交付依据</w:t>
          </w:r>
          <w:r>
            <w:tab/>
          </w:r>
          <w:r>
            <w:fldChar w:fldCharType="begin"/>
          </w:r>
          <w:r>
            <w:instrText xml:space="preserve"> PAGEREF _Toc13194 \h </w:instrText>
          </w:r>
          <w:r>
            <w:fldChar w:fldCharType="separate"/>
          </w:r>
          <w:r>
            <w:t>8</w:t>
          </w:r>
          <w:r>
            <w:fldChar w:fldCharType="end"/>
          </w:r>
          <w:r>
            <w:rPr>
              <w:rFonts w:hint="eastAsia" w:ascii="宋体" w:hAnsi="宋体" w:eastAsia="宋体" w:cs="宋体"/>
              <w:szCs w:val="24"/>
            </w:rPr>
            <w:fldChar w:fldCharType="end"/>
          </w:r>
        </w:p>
        <w:p w14:paraId="51A38BE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_Toc16504 </w:instrText>
          </w:r>
          <w:r>
            <w:rPr>
              <w:rFonts w:hint="eastAsia" w:ascii="宋体" w:hAnsi="宋体" w:eastAsia="宋体" w:cs="宋体"/>
              <w:szCs w:val="24"/>
            </w:rPr>
            <w:fldChar w:fldCharType="separate"/>
          </w:r>
          <w:r>
            <w:rPr>
              <w:rFonts w:hint="default"/>
              <w:lang w:val="en-US" w:eastAsia="zh-CN"/>
            </w:rPr>
            <w:t>4.4. 与其他流程的关系</w:t>
          </w:r>
          <w:r>
            <w:tab/>
          </w:r>
          <w:r>
            <w:fldChar w:fldCharType="begin"/>
          </w:r>
          <w:r>
            <w:instrText xml:space="preserve"> PAGEREF _Toc16504 \h </w:instrText>
          </w:r>
          <w:r>
            <w:fldChar w:fldCharType="separate"/>
          </w:r>
          <w:r>
            <w:t>8</w:t>
          </w:r>
          <w:r>
            <w:fldChar w:fldCharType="end"/>
          </w:r>
          <w:r>
            <w:rPr>
              <w:rFonts w:hint="eastAsia" w:ascii="宋体" w:hAnsi="宋体" w:eastAsia="宋体" w:cs="宋体"/>
              <w:szCs w:val="24"/>
            </w:rPr>
            <w:fldChar w:fldCharType="end"/>
          </w:r>
        </w:p>
        <w:p w14:paraId="33E050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_Toc30633 </w:instrText>
          </w:r>
          <w:r>
            <w:rPr>
              <w:rFonts w:hint="eastAsia" w:ascii="宋体" w:hAnsi="宋体" w:eastAsia="宋体" w:cs="宋体"/>
              <w:szCs w:val="24"/>
            </w:rPr>
            <w:fldChar w:fldCharType="separate"/>
          </w:r>
          <w:r>
            <w:rPr>
              <w:rFonts w:hint="default"/>
              <w:lang w:val="en-US" w:eastAsia="zh-CN"/>
            </w:rPr>
            <w:t>4.4.1. 与服务级别管理（SLM）</w:t>
          </w:r>
          <w:r>
            <w:tab/>
          </w:r>
          <w:r>
            <w:fldChar w:fldCharType="begin"/>
          </w:r>
          <w:r>
            <w:instrText xml:space="preserve"> PAGEREF _Toc30633 \h </w:instrText>
          </w:r>
          <w:r>
            <w:fldChar w:fldCharType="separate"/>
          </w:r>
          <w:r>
            <w:t>8</w:t>
          </w:r>
          <w:r>
            <w:fldChar w:fldCharType="end"/>
          </w:r>
          <w:r>
            <w:rPr>
              <w:rFonts w:hint="eastAsia" w:ascii="宋体" w:hAnsi="宋体" w:eastAsia="宋体" w:cs="宋体"/>
              <w:szCs w:val="24"/>
            </w:rPr>
            <w:fldChar w:fldCharType="end"/>
          </w:r>
        </w:p>
        <w:p w14:paraId="20782B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_Toc13591 </w:instrText>
          </w:r>
          <w:r>
            <w:rPr>
              <w:rFonts w:hint="eastAsia" w:ascii="宋体" w:hAnsi="宋体" w:eastAsia="宋体" w:cs="宋体"/>
              <w:szCs w:val="24"/>
            </w:rPr>
            <w:fldChar w:fldCharType="separate"/>
          </w:r>
          <w:r>
            <w:rPr>
              <w:rFonts w:hint="default"/>
              <w:lang w:val="en-US" w:eastAsia="zh-CN"/>
            </w:rPr>
            <w:t>4.4.2. 与配置管理</w:t>
          </w:r>
          <w:r>
            <w:tab/>
          </w:r>
          <w:r>
            <w:fldChar w:fldCharType="begin"/>
          </w:r>
          <w:r>
            <w:instrText xml:space="preserve"> PAGEREF _Toc13591 \h </w:instrText>
          </w:r>
          <w:r>
            <w:fldChar w:fldCharType="separate"/>
          </w:r>
          <w:r>
            <w:t>8</w:t>
          </w:r>
          <w:r>
            <w:fldChar w:fldCharType="end"/>
          </w:r>
          <w:r>
            <w:rPr>
              <w:rFonts w:hint="eastAsia" w:ascii="宋体" w:hAnsi="宋体" w:eastAsia="宋体" w:cs="宋体"/>
              <w:szCs w:val="24"/>
            </w:rPr>
            <w:fldChar w:fldCharType="end"/>
          </w:r>
        </w:p>
        <w:p w14:paraId="39081A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_Toc7419 </w:instrText>
          </w:r>
          <w:r>
            <w:rPr>
              <w:rFonts w:hint="eastAsia" w:ascii="宋体" w:hAnsi="宋体" w:eastAsia="宋体" w:cs="宋体"/>
              <w:szCs w:val="24"/>
            </w:rPr>
            <w:fldChar w:fldCharType="separate"/>
          </w:r>
          <w:r>
            <w:rPr>
              <w:rFonts w:hint="default"/>
              <w:lang w:val="en-US" w:eastAsia="zh-CN"/>
            </w:rPr>
            <w:t>4.5. 检查、总结与改进</w:t>
          </w:r>
          <w:r>
            <w:tab/>
          </w:r>
          <w:r>
            <w:fldChar w:fldCharType="begin"/>
          </w:r>
          <w:r>
            <w:instrText xml:space="preserve"> PAGEREF _Toc7419 \h </w:instrText>
          </w:r>
          <w:r>
            <w:fldChar w:fldCharType="separate"/>
          </w:r>
          <w:r>
            <w:t>9</w:t>
          </w:r>
          <w:r>
            <w:fldChar w:fldCharType="end"/>
          </w:r>
          <w:r>
            <w:rPr>
              <w:rFonts w:hint="eastAsia" w:ascii="宋体" w:hAnsi="宋体" w:eastAsia="宋体" w:cs="宋体"/>
              <w:szCs w:val="24"/>
            </w:rPr>
            <w:fldChar w:fldCharType="end"/>
          </w:r>
        </w:p>
        <w:p w14:paraId="55F8468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_Toc26932 </w:instrText>
          </w:r>
          <w:r>
            <w:rPr>
              <w:rFonts w:hint="eastAsia" w:ascii="宋体" w:hAnsi="宋体" w:eastAsia="宋体" w:cs="宋体"/>
              <w:szCs w:val="24"/>
            </w:rPr>
            <w:fldChar w:fldCharType="separate"/>
          </w:r>
          <w:r>
            <w:rPr>
              <w:rFonts w:hint="default"/>
              <w:lang w:val="en-US" w:eastAsia="zh-CN"/>
            </w:rPr>
            <w:t>4.5.1. 执行情况检查</w:t>
          </w:r>
          <w:r>
            <w:tab/>
          </w:r>
          <w:r>
            <w:fldChar w:fldCharType="begin"/>
          </w:r>
          <w:r>
            <w:instrText xml:space="preserve"> PAGEREF _Toc26932 \h </w:instrText>
          </w:r>
          <w:r>
            <w:fldChar w:fldCharType="separate"/>
          </w:r>
          <w:r>
            <w:t>9</w:t>
          </w:r>
          <w:r>
            <w:fldChar w:fldCharType="end"/>
          </w:r>
          <w:r>
            <w:rPr>
              <w:rFonts w:hint="eastAsia" w:ascii="宋体" w:hAnsi="宋体" w:eastAsia="宋体" w:cs="宋体"/>
              <w:szCs w:val="24"/>
            </w:rPr>
            <w:fldChar w:fldCharType="end"/>
          </w:r>
        </w:p>
        <w:p w14:paraId="7A6DB35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_Toc2954 </w:instrText>
          </w:r>
          <w:r>
            <w:rPr>
              <w:rFonts w:hint="eastAsia" w:ascii="宋体" w:hAnsi="宋体" w:eastAsia="宋体" w:cs="宋体"/>
              <w:szCs w:val="24"/>
            </w:rPr>
            <w:fldChar w:fldCharType="separate"/>
          </w:r>
          <w:r>
            <w:rPr>
              <w:rFonts w:hint="default"/>
              <w:lang w:val="en-US" w:eastAsia="zh-CN"/>
            </w:rPr>
            <w:t>4.5.2. 年度总结</w:t>
          </w:r>
          <w:r>
            <w:tab/>
          </w:r>
          <w:r>
            <w:fldChar w:fldCharType="begin"/>
          </w:r>
          <w:r>
            <w:instrText xml:space="preserve"> PAGEREF _Toc2954 \h </w:instrText>
          </w:r>
          <w:r>
            <w:fldChar w:fldCharType="separate"/>
          </w:r>
          <w:r>
            <w:t>9</w:t>
          </w:r>
          <w:r>
            <w:fldChar w:fldCharType="end"/>
          </w:r>
          <w:r>
            <w:rPr>
              <w:rFonts w:hint="eastAsia" w:ascii="宋体" w:hAnsi="宋体" w:eastAsia="宋体" w:cs="宋体"/>
              <w:szCs w:val="24"/>
            </w:rPr>
            <w:fldChar w:fldCharType="end"/>
          </w:r>
        </w:p>
        <w:p w14:paraId="7929C7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_Toc6004 </w:instrText>
          </w:r>
          <w:r>
            <w:rPr>
              <w:rFonts w:hint="eastAsia" w:ascii="宋体" w:hAnsi="宋体" w:eastAsia="宋体" w:cs="宋体"/>
              <w:szCs w:val="24"/>
            </w:rPr>
            <w:fldChar w:fldCharType="separate"/>
          </w:r>
          <w:r>
            <w:rPr>
              <w:rFonts w:hint="default"/>
              <w:lang w:val="en-US" w:eastAsia="zh-CN"/>
            </w:rPr>
            <w:t>4.5.3. 持续改进</w:t>
          </w:r>
          <w:r>
            <w:tab/>
          </w:r>
          <w:r>
            <w:fldChar w:fldCharType="begin"/>
          </w:r>
          <w:r>
            <w:instrText xml:space="preserve"> PAGEREF _Toc6004 \h </w:instrText>
          </w:r>
          <w:r>
            <w:fldChar w:fldCharType="separate"/>
          </w:r>
          <w:r>
            <w:t>9</w:t>
          </w:r>
          <w:r>
            <w:fldChar w:fldCharType="end"/>
          </w:r>
          <w:r>
            <w:rPr>
              <w:rFonts w:hint="eastAsia" w:ascii="宋体" w:hAnsi="宋体" w:eastAsia="宋体" w:cs="宋体"/>
              <w:szCs w:val="24"/>
            </w:rPr>
            <w:fldChar w:fldCharType="end"/>
          </w:r>
        </w:p>
        <w:p w14:paraId="610AE76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_Toc17187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_Toc17187 \h </w:instrText>
          </w:r>
          <w:r>
            <w:fldChar w:fldCharType="separate"/>
          </w:r>
          <w:r>
            <w:t>9</w:t>
          </w:r>
          <w:r>
            <w:fldChar w:fldCharType="end"/>
          </w:r>
          <w:r>
            <w:rPr>
              <w:rFonts w:hint="eastAsia" w:ascii="宋体" w:hAnsi="宋体" w:eastAsia="宋体" w:cs="宋体"/>
              <w:szCs w:val="24"/>
            </w:rPr>
            <w:fldChar w:fldCharType="end"/>
          </w:r>
        </w:p>
        <w:p w14:paraId="3882399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_Toc6468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_Toc6468 \h </w:instrText>
          </w:r>
          <w:r>
            <w:fldChar w:fldCharType="separate"/>
          </w:r>
          <w:r>
            <w:t>9</w:t>
          </w:r>
          <w:r>
            <w:fldChar w:fldCharType="end"/>
          </w:r>
          <w:r>
            <w:rPr>
              <w:rFonts w:hint="eastAsia" w:ascii="宋体" w:hAnsi="宋体" w:eastAsia="宋体" w:cs="宋体"/>
              <w:szCs w:val="24"/>
            </w:rPr>
            <w:fldChar w:fldCharType="end"/>
          </w:r>
        </w:p>
        <w:p w14:paraId="122EA1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_Toc29957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_Toc29957 \h </w:instrText>
          </w:r>
          <w:r>
            <w:fldChar w:fldCharType="separate"/>
          </w:r>
          <w:r>
            <w:t>9</w:t>
          </w:r>
          <w:r>
            <w:fldChar w:fldCharType="end"/>
          </w:r>
          <w:r>
            <w:rPr>
              <w:rFonts w:hint="eastAsia" w:ascii="宋体" w:hAnsi="宋体" w:eastAsia="宋体" w:cs="宋体"/>
              <w:szCs w:val="24"/>
            </w:rPr>
            <w:fldChar w:fldCharType="end"/>
          </w:r>
        </w:p>
        <w:p w14:paraId="1418A067">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4B4E6A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CBD9700">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8242"/>
      <w:r>
        <w:rPr>
          <w:rFonts w:hint="eastAsia"/>
          <w:lang w:val="en-US" w:eastAsia="zh-CN"/>
        </w:rPr>
        <w:t>总则</w:t>
      </w:r>
      <w:bookmarkEnd w:id="2"/>
    </w:p>
    <w:p w14:paraId="16B072F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0044"/>
      <w:r>
        <w:rPr>
          <w:rFonts w:hint="eastAsia"/>
          <w:lang w:val="en-US" w:eastAsia="zh-CN"/>
        </w:rPr>
        <w:t>目的</w:t>
      </w:r>
      <w:bookmarkEnd w:id="3"/>
    </w:p>
    <w:p w14:paraId="04E6963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公司运维服务目录的建立、变更、维护与使用，确保服务目录信息准确、一致、有效，使其能真实反映公司当前的服务能力、服务内容与服务承诺，并作为管理客户需求、展示服务能力、指导服务交付的重要依据，特制定本</w:t>
      </w:r>
      <w:r>
        <w:rPr>
          <w:rFonts w:hint="eastAsia"/>
          <w:lang w:val="en-US" w:eastAsia="zh-CN"/>
        </w:rPr>
        <w:t>制度</w:t>
      </w:r>
      <w:r>
        <w:t>。</w:t>
      </w:r>
    </w:p>
    <w:p w14:paraId="646579B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6749"/>
      <w:r>
        <w:rPr>
          <w:rFonts w:hint="eastAsia"/>
          <w:lang w:val="en-US" w:eastAsia="zh-CN"/>
        </w:rPr>
        <w:t>适用范围</w:t>
      </w:r>
      <w:bookmarkEnd w:id="4"/>
    </w:p>
    <w:p w14:paraId="05B94A9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w:t>
      </w:r>
      <w:r>
        <w:rPr>
          <w:rFonts w:hint="eastAsia"/>
          <w:lang w:val="en-US" w:eastAsia="zh-CN"/>
        </w:rPr>
        <w:t>制度</w:t>
      </w:r>
      <w:r>
        <w:t>适用于公司所有已提供或计划提供的、处于规划、转换或已正式运行阶段的运维服务。服务目录的管理活动涵盖服务的定义、目录的建立、发布、维护、变更以及与其他服务管理过程的联动。</w:t>
      </w:r>
    </w:p>
    <w:p w14:paraId="7297879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2847"/>
      <w:r>
        <w:rPr>
          <w:rFonts w:hint="eastAsia"/>
          <w:lang w:val="en-US" w:eastAsia="zh-CN"/>
        </w:rPr>
        <w:t>原则</w:t>
      </w:r>
      <w:bookmarkEnd w:id="5"/>
    </w:p>
    <w:p w14:paraId="62C1F1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服务目录管理应遵循以下原则：</w:t>
      </w:r>
    </w:p>
    <w:p w14:paraId="696FA453">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准确性原则：服务目录必须准确反映当前服务的实际情况。</w:t>
      </w:r>
    </w:p>
    <w:p w14:paraId="1FBF7279">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一致性原则：服务目录内容应与公司的服务能力、资源配置、组织架构及对外承诺保持一致。</w:t>
      </w:r>
    </w:p>
    <w:p w14:paraId="5B6980AB">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动态性原则：服务目录应定期评审并及时更新，以适应内外部环境的变化。</w:t>
      </w:r>
    </w:p>
    <w:p w14:paraId="25666D38">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关联性原则：服务目录管理应与服务级别管理、配置管理等其他服务管理流程紧密关联。</w:t>
      </w:r>
    </w:p>
    <w:p w14:paraId="24A93BDC">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1271"/>
      <w:r>
        <w:rPr>
          <w:rFonts w:hint="eastAsia"/>
          <w:lang w:val="en-US" w:eastAsia="zh-CN"/>
        </w:rPr>
        <w:t>岗位职责</w:t>
      </w:r>
      <w:bookmarkEnd w:id="6"/>
    </w:p>
    <w:p w14:paraId="41736828">
      <w:pPr>
        <w:pStyle w:val="31"/>
        <w:bidi w:val="0"/>
        <w:rPr>
          <w:rFonts w:hint="default"/>
          <w:lang w:val="en-US" w:eastAsia="zh-CN"/>
        </w:rPr>
      </w:pPr>
      <w:bookmarkStart w:id="7" w:name="_Toc10617"/>
      <w:r>
        <w:rPr>
          <w:rFonts w:hint="eastAsia"/>
          <w:lang w:val="en-US" w:eastAsia="zh-CN"/>
        </w:rPr>
        <w:t>总经理</w:t>
      </w:r>
      <w:bookmarkEnd w:id="7"/>
      <w:r>
        <w:rPr>
          <w:rFonts w:hint="default"/>
          <w:lang w:val="en-US" w:eastAsia="zh-CN"/>
        </w:rPr>
        <w:t xml:space="preserve"> </w:t>
      </w:r>
    </w:p>
    <w:p w14:paraId="3F64181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负责审批公司级服务目录（服务目录列表），并为服务目录管理提供必要的资源保障。</w:t>
      </w:r>
    </w:p>
    <w:p w14:paraId="52F94ABB">
      <w:pPr>
        <w:pStyle w:val="31"/>
        <w:bidi w:val="0"/>
        <w:rPr>
          <w:rFonts w:hint="default"/>
          <w:lang w:val="en-US" w:eastAsia="zh-CN"/>
        </w:rPr>
      </w:pPr>
      <w:bookmarkStart w:id="8" w:name="_Toc17414"/>
      <w:r>
        <w:rPr>
          <w:rFonts w:hint="default"/>
          <w:lang w:val="en-US" w:eastAsia="zh-CN"/>
        </w:rPr>
        <w:t>管理者代表</w:t>
      </w:r>
      <w:bookmarkEnd w:id="8"/>
    </w:p>
    <w:p w14:paraId="3652893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负责审核公司级服务目录，批准各项目级服务目录（服务详述）。</w:t>
      </w:r>
    </w:p>
    <w:p w14:paraId="48D07A2B">
      <w:pPr>
        <w:pStyle w:val="31"/>
        <w:bidi w:val="0"/>
        <w:rPr>
          <w:rFonts w:hint="default"/>
          <w:lang w:val="en-US" w:eastAsia="zh-CN"/>
        </w:rPr>
      </w:pPr>
      <w:bookmarkStart w:id="9" w:name="_Toc69"/>
      <w:r>
        <w:rPr>
          <w:rFonts w:hint="default"/>
          <w:lang w:val="en-US" w:eastAsia="zh-CN"/>
        </w:rPr>
        <w:t>运维管理部</w:t>
      </w:r>
      <w:bookmarkEnd w:id="9"/>
    </w:p>
    <w:p w14:paraId="5BA7334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负责组织建立、维护、变更公司级服务目录；组织定期评审目录的适宜性和实施情况；负责服务目录的变更控制。</w:t>
      </w:r>
    </w:p>
    <w:p w14:paraId="3B7463C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负责具体项目服务目录（服务详述）的建立、实施与维护，并提出服务目录变更需求。</w:t>
      </w:r>
    </w:p>
    <w:p w14:paraId="08721599">
      <w:pPr>
        <w:pStyle w:val="31"/>
        <w:bidi w:val="0"/>
        <w:rPr>
          <w:rFonts w:hint="default"/>
          <w:lang w:val="en-US" w:eastAsia="zh-CN"/>
        </w:rPr>
      </w:pPr>
      <w:bookmarkStart w:id="10" w:name="_Toc22399"/>
      <w:r>
        <w:rPr>
          <w:rFonts w:hint="eastAsia"/>
          <w:lang w:val="en-US" w:eastAsia="zh-CN"/>
        </w:rPr>
        <w:t>人力资源部</w:t>
      </w:r>
      <w:bookmarkEnd w:id="10"/>
    </w:p>
    <w:p w14:paraId="6AFD6B3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负责确保公司人力资源配置与服务目录所定义的服务能力要求相匹配。</w:t>
      </w:r>
    </w:p>
    <w:p w14:paraId="3C01C19B">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24283"/>
      <w:r>
        <w:rPr>
          <w:rFonts w:hint="eastAsia"/>
          <w:lang w:val="en-US" w:eastAsia="zh-CN"/>
        </w:rPr>
        <w:t>引用依据</w:t>
      </w:r>
      <w:bookmarkEnd w:id="11"/>
    </w:p>
    <w:p w14:paraId="34CDCEEB">
      <w:pPr>
        <w:pStyle w:val="12"/>
        <w:numPr>
          <w:ilvl w:val="0"/>
          <w:numId w:val="3"/>
        </w:numPr>
        <w:spacing w:before="209" w:line="327" w:lineRule="exact"/>
        <w:ind w:left="425" w:leftChars="0" w:hanging="425" w:firstLineChars="0"/>
        <w:rPr>
          <w:rFonts w:ascii="宋体" w:hAnsi="宋体" w:eastAsia="宋体" w:cs="宋体"/>
          <w:sz w:val="24"/>
          <w:szCs w:val="24"/>
        </w:rPr>
      </w:pPr>
      <w:r>
        <w:rPr>
          <w:rFonts w:hint="eastAsia"/>
          <w:spacing w:val="-1"/>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7E0BE4A0">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GB/T28827.1-2022</w:t>
      </w:r>
      <w:r>
        <w:rPr>
          <w:rFonts w:ascii="宋体" w:hAnsi="宋体" w:eastAsia="宋体" w:cs="宋体"/>
          <w:spacing w:val="-1"/>
          <w:position w:val="1"/>
          <w:sz w:val="24"/>
          <w:szCs w:val="24"/>
        </w:rPr>
        <w:t>《信息技术服务 运行维护 第一部分：通用要求》</w:t>
      </w:r>
    </w:p>
    <w:p w14:paraId="3E28AE77">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29264-2012 </w:t>
      </w:r>
      <w:r>
        <w:rPr>
          <w:rFonts w:ascii="宋体" w:hAnsi="宋体" w:eastAsia="宋体" w:cs="宋体"/>
          <w:spacing w:val="-1"/>
          <w:position w:val="1"/>
          <w:sz w:val="24"/>
          <w:szCs w:val="24"/>
        </w:rPr>
        <w:t>《信息技术服务 分类与代码》</w:t>
      </w:r>
    </w:p>
    <w:p w14:paraId="5DF35EA8">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5C66C45F">
      <w:pPr>
        <w:pStyle w:val="12"/>
        <w:numPr>
          <w:ilvl w:val="0"/>
          <w:numId w:val="3"/>
        </w:numPr>
        <w:spacing w:before="297" w:line="329" w:lineRule="auto"/>
        <w:ind w:left="425" w:leftChars="0" w:right="14" w:hanging="425" w:firstLineChars="0"/>
        <w:rPr>
          <w:rFonts w:ascii="宋体" w:hAnsi="宋体" w:eastAsia="宋体" w:cs="宋体"/>
          <w:sz w:val="24"/>
          <w:szCs w:val="24"/>
        </w:rPr>
      </w:pP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6E90288E">
      <w:pPr>
        <w:numPr>
          <w:ilvl w:val="0"/>
          <w:numId w:val="3"/>
        </w:numPr>
        <w:spacing w:before="25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0987ADDC">
      <w:pPr>
        <w:pStyle w:val="28"/>
        <w:keepNext w:val="0"/>
        <w:keepLines w:val="0"/>
        <w:pageBreakBefore w:val="0"/>
        <w:widowControl w:val="0"/>
        <w:kinsoku w:val="0"/>
        <w:wordWrap/>
        <w:overflowPunct/>
        <w:autoSpaceDE w:val="0"/>
        <w:autoSpaceDN w:val="0"/>
        <w:bidi w:val="0"/>
        <w:adjustRightInd w:val="0"/>
        <w:snapToGrid w:val="0"/>
        <w:textAlignment w:val="baseline"/>
      </w:pPr>
      <w:bookmarkStart w:id="12" w:name="_Toc20186"/>
      <w:r>
        <w:rPr>
          <w:rFonts w:hint="eastAsia"/>
          <w:lang w:val="en-US" w:eastAsia="zh-CN"/>
        </w:rPr>
        <w:t>定义与术语</w:t>
      </w:r>
      <w:bookmarkEnd w:id="12"/>
    </w:p>
    <w:p w14:paraId="2255807D">
      <w:pPr>
        <w:pStyle w:val="29"/>
        <w:numPr>
          <w:ilvl w:val="0"/>
          <w:numId w:val="4"/>
        </w:numPr>
        <w:ind w:left="425" w:leftChars="0" w:hanging="425" w:firstLineChars="0"/>
        <w:rPr>
          <w:rFonts w:hint="eastAsia"/>
        </w:rPr>
      </w:pPr>
      <w:r>
        <w:rPr>
          <w:rFonts w:hint="eastAsia"/>
        </w:rPr>
        <w:t>服务目录：</w:t>
      </w:r>
    </w:p>
    <w:p w14:paraId="7D58DB15">
      <w:pPr>
        <w:pStyle w:val="29"/>
        <w:rPr>
          <w:rFonts w:hint="eastAsia"/>
        </w:rPr>
      </w:pPr>
      <w:r>
        <w:rPr>
          <w:rFonts w:hint="eastAsia"/>
        </w:rPr>
        <w:t>记录所有服务项目相关信息的结构化文档或数据库。通常由面向客户的“服务目录列表”和面向内部的“服务详述”两部分组成。</w:t>
      </w:r>
    </w:p>
    <w:p w14:paraId="45073EA5">
      <w:pPr>
        <w:pStyle w:val="29"/>
        <w:numPr>
          <w:ilvl w:val="0"/>
          <w:numId w:val="4"/>
        </w:numPr>
        <w:ind w:left="425" w:leftChars="0" w:hanging="425" w:firstLineChars="0"/>
        <w:rPr>
          <w:rFonts w:hint="eastAsia"/>
        </w:rPr>
      </w:pPr>
      <w:r>
        <w:rPr>
          <w:rFonts w:hint="eastAsia"/>
        </w:rPr>
        <w:t>服务目录列表：</w:t>
      </w:r>
    </w:p>
    <w:p w14:paraId="5277845F">
      <w:pPr>
        <w:pStyle w:val="29"/>
        <w:rPr>
          <w:rFonts w:hint="eastAsia"/>
        </w:rPr>
      </w:pPr>
      <w:r>
        <w:rPr>
          <w:rFonts w:hint="eastAsia"/>
        </w:rPr>
        <w:t>（公司级目录）面向客户的服务摘要，包含服务名称、简介、服务目标、价格等基本信息。</w:t>
      </w:r>
    </w:p>
    <w:p w14:paraId="6A6EAC70">
      <w:pPr>
        <w:pStyle w:val="29"/>
        <w:numPr>
          <w:ilvl w:val="0"/>
          <w:numId w:val="4"/>
        </w:numPr>
        <w:ind w:left="425" w:leftChars="0" w:hanging="425" w:firstLineChars="0"/>
        <w:rPr>
          <w:rFonts w:hint="eastAsia"/>
        </w:rPr>
      </w:pPr>
      <w:r>
        <w:rPr>
          <w:rFonts w:hint="eastAsia"/>
        </w:rPr>
        <w:t>服务详述：</w:t>
      </w:r>
    </w:p>
    <w:p w14:paraId="06AA7408">
      <w:pPr>
        <w:pStyle w:val="29"/>
        <w:rPr>
          <w:rFonts w:hint="eastAsia"/>
        </w:rPr>
      </w:pPr>
      <w:r>
        <w:rPr>
          <w:rFonts w:hint="eastAsia"/>
        </w:rPr>
        <w:t>（项目级目录）详细定义特定客户或项目所享受服务的具体内容，包括服务范围、服务级别协议（SLA）、操作级别协议（OLA）、交付方式、交付物等。</w:t>
      </w:r>
    </w:p>
    <w:p w14:paraId="72475C6D">
      <w:pPr>
        <w:pStyle w:val="29"/>
      </w:pPr>
      <w:r>
        <w:rPr>
          <w:rFonts w:hint="eastAsia"/>
        </w:rPr>
        <w:t>本</w:t>
      </w:r>
      <w:r>
        <w:rPr>
          <w:rFonts w:hint="eastAsia"/>
          <w:lang w:val="en-US" w:eastAsia="zh-CN"/>
        </w:rPr>
        <w:t>制度</w:t>
      </w:r>
      <w:r>
        <w:rPr>
          <w:rFonts w:hint="eastAsia"/>
        </w:rPr>
        <w:t>中未定义的术语，执行国家相关标准的定义</w:t>
      </w:r>
    </w:p>
    <w:p w14:paraId="58D6B8CB">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9493"/>
      <w:r>
        <w:rPr>
          <w:rFonts w:hint="eastAsia"/>
          <w:lang w:val="en-US" w:eastAsia="zh-CN"/>
        </w:rPr>
        <w:t>管理内容与要求</w:t>
      </w:r>
      <w:bookmarkEnd w:id="13"/>
    </w:p>
    <w:p w14:paraId="56E261AF">
      <w:pPr>
        <w:pStyle w:val="30"/>
        <w:bidi w:val="0"/>
        <w:rPr>
          <w:rFonts w:hint="default"/>
          <w:lang w:val="en-US" w:eastAsia="zh-CN"/>
        </w:rPr>
      </w:pPr>
      <w:bookmarkStart w:id="14" w:name="_Toc18034"/>
      <w:r>
        <w:rPr>
          <w:rFonts w:hint="default"/>
          <w:lang w:val="en-US" w:eastAsia="zh-CN"/>
        </w:rPr>
        <w:t>服务目录的建立</w:t>
      </w:r>
      <w:bookmarkEnd w:id="14"/>
    </w:p>
    <w:p w14:paraId="3830CF35">
      <w:pPr>
        <w:pStyle w:val="31"/>
        <w:bidi w:val="0"/>
        <w:rPr>
          <w:rFonts w:hint="default"/>
          <w:lang w:val="en-US" w:eastAsia="zh-CN"/>
        </w:rPr>
      </w:pPr>
      <w:bookmarkStart w:id="15" w:name="_Toc29215"/>
      <w:r>
        <w:rPr>
          <w:rFonts w:hint="default"/>
          <w:lang w:val="en-US" w:eastAsia="zh-CN"/>
        </w:rPr>
        <w:t>策划</w:t>
      </w:r>
      <w:bookmarkEnd w:id="15"/>
    </w:p>
    <w:p w14:paraId="7A954BAC">
      <w:pPr>
        <w:pStyle w:val="29"/>
        <w:rPr>
          <w:rFonts w:hint="default"/>
          <w:lang w:val="en-US" w:eastAsia="zh-CN"/>
        </w:rPr>
      </w:pPr>
      <w:r>
        <w:rPr>
          <w:rFonts w:hint="default"/>
          <w:lang w:val="en-US" w:eastAsia="zh-CN"/>
        </w:rPr>
        <w:t>运维管理部应依据公司发展战略、服务产品规划、资源能力（人员、技术、工具）等，组织策划公司级服务目录的框架和内容。</w:t>
      </w:r>
    </w:p>
    <w:p w14:paraId="75B06DBC">
      <w:pPr>
        <w:pStyle w:val="31"/>
        <w:bidi w:val="0"/>
        <w:rPr>
          <w:rFonts w:hint="default"/>
          <w:lang w:val="en-US" w:eastAsia="zh-CN"/>
        </w:rPr>
      </w:pPr>
      <w:bookmarkStart w:id="16" w:name="_Toc3066"/>
      <w:r>
        <w:rPr>
          <w:rFonts w:hint="default"/>
          <w:lang w:val="en-US" w:eastAsia="zh-CN"/>
        </w:rPr>
        <w:t>编制</w:t>
      </w:r>
      <w:bookmarkEnd w:id="16"/>
    </w:p>
    <w:p w14:paraId="293CC0D2">
      <w:pPr>
        <w:pStyle w:val="29"/>
        <w:bidi w:val="0"/>
        <w:rPr>
          <w:rFonts w:hint="default"/>
          <w:lang w:val="en-US" w:eastAsia="zh-CN"/>
        </w:rPr>
      </w:pPr>
      <w:r>
        <w:rPr>
          <w:rFonts w:hint="default"/>
          <w:lang w:val="en-US" w:eastAsia="zh-CN"/>
        </w:rPr>
        <w:t>服务目录的分类与代码应遵循GB/T 29264-2012标准。服务目录列表内容应清晰、易懂，便于客户选择。</w:t>
      </w:r>
    </w:p>
    <w:p w14:paraId="4A756FA6">
      <w:pPr>
        <w:pStyle w:val="31"/>
        <w:bidi w:val="0"/>
        <w:rPr>
          <w:rFonts w:hint="default"/>
          <w:lang w:val="en-US" w:eastAsia="zh-CN"/>
        </w:rPr>
      </w:pPr>
      <w:bookmarkStart w:id="17" w:name="_Toc17207"/>
      <w:r>
        <w:rPr>
          <w:rFonts w:hint="default"/>
          <w:lang w:val="en-US" w:eastAsia="zh-CN"/>
        </w:rPr>
        <w:t>评审与批准</w:t>
      </w:r>
      <w:bookmarkEnd w:id="17"/>
    </w:p>
    <w:p w14:paraId="40404B8D">
      <w:pPr>
        <w:pStyle w:val="29"/>
        <w:bidi w:val="0"/>
        <w:rPr>
          <w:rFonts w:hint="default"/>
          <w:lang w:val="en-US" w:eastAsia="zh-CN"/>
        </w:rPr>
      </w:pPr>
      <w:r>
        <w:rPr>
          <w:rFonts w:hint="default"/>
          <w:lang w:val="en-US" w:eastAsia="zh-CN"/>
        </w:rPr>
        <w:t>公司级服务目录（服务目录列表）由管理者代表审核，报公司高层批准后发布实施，并纳入配置管理库。</w:t>
      </w:r>
    </w:p>
    <w:p w14:paraId="673F75E3">
      <w:pPr>
        <w:pStyle w:val="30"/>
        <w:bidi w:val="0"/>
        <w:rPr>
          <w:rFonts w:hint="default"/>
          <w:lang w:val="en-US" w:eastAsia="zh-CN"/>
        </w:rPr>
      </w:pPr>
      <w:bookmarkStart w:id="18" w:name="_Toc15554"/>
      <w:r>
        <w:rPr>
          <w:rFonts w:hint="default"/>
          <w:lang w:val="en-US" w:eastAsia="zh-CN"/>
        </w:rPr>
        <w:t>服务目录的维护与变更</w:t>
      </w:r>
      <w:bookmarkEnd w:id="18"/>
    </w:p>
    <w:p w14:paraId="1EAC666D">
      <w:pPr>
        <w:pStyle w:val="31"/>
        <w:bidi w:val="0"/>
        <w:rPr>
          <w:rFonts w:hint="default"/>
          <w:lang w:val="en-US" w:eastAsia="zh-CN"/>
        </w:rPr>
      </w:pPr>
      <w:bookmarkStart w:id="19" w:name="_Toc10573"/>
      <w:r>
        <w:rPr>
          <w:rFonts w:hint="default"/>
          <w:lang w:val="en-US" w:eastAsia="zh-CN"/>
        </w:rPr>
        <w:t>定期评审</w:t>
      </w:r>
      <w:bookmarkEnd w:id="19"/>
    </w:p>
    <w:p w14:paraId="03D1D22F">
      <w:pPr>
        <w:pStyle w:val="29"/>
        <w:bidi w:val="0"/>
        <w:rPr>
          <w:rFonts w:hint="default"/>
          <w:lang w:val="en-US" w:eastAsia="zh-CN"/>
        </w:rPr>
      </w:pPr>
      <w:r>
        <w:rPr>
          <w:rFonts w:hint="default"/>
          <w:lang w:val="en-US" w:eastAsia="zh-CN"/>
        </w:rPr>
        <w:t>运维管理部经理应至少每半年组织一次服务目录的符合性、适宜性评审，确保其与实际业务、客户需求、资源配置相匹配。</w:t>
      </w:r>
    </w:p>
    <w:p w14:paraId="56C250AB">
      <w:pPr>
        <w:pStyle w:val="31"/>
        <w:bidi w:val="0"/>
        <w:rPr>
          <w:rFonts w:hint="default"/>
          <w:lang w:val="en-US" w:eastAsia="zh-CN"/>
        </w:rPr>
      </w:pPr>
      <w:bookmarkStart w:id="20" w:name="_Toc29526"/>
      <w:r>
        <w:rPr>
          <w:rFonts w:hint="default"/>
          <w:lang w:val="en-US" w:eastAsia="zh-CN"/>
        </w:rPr>
        <w:t>变更触发</w:t>
      </w:r>
      <w:bookmarkEnd w:id="20"/>
    </w:p>
    <w:p w14:paraId="072023A2">
      <w:pPr>
        <w:pStyle w:val="29"/>
        <w:bidi w:val="0"/>
        <w:rPr>
          <w:rFonts w:hint="default"/>
          <w:lang w:val="en-US" w:eastAsia="zh-CN"/>
        </w:rPr>
      </w:pPr>
      <w:r>
        <w:rPr>
          <w:rFonts w:hint="default"/>
          <w:lang w:val="en-US" w:eastAsia="zh-CN"/>
        </w:rPr>
        <w:t>当出现服务能力提升、客户需求变化、组织结构调整、技术更新等情况时，应启动服务目录变更流程。</w:t>
      </w:r>
    </w:p>
    <w:p w14:paraId="10E3A329">
      <w:pPr>
        <w:pStyle w:val="31"/>
        <w:bidi w:val="0"/>
        <w:rPr>
          <w:rFonts w:hint="default"/>
          <w:lang w:val="en-US" w:eastAsia="zh-CN"/>
        </w:rPr>
      </w:pPr>
      <w:bookmarkStart w:id="21" w:name="_Toc21681"/>
      <w:r>
        <w:rPr>
          <w:rFonts w:hint="default"/>
          <w:lang w:val="en-US" w:eastAsia="zh-CN"/>
        </w:rPr>
        <w:t>变更控制</w:t>
      </w:r>
      <w:bookmarkEnd w:id="21"/>
    </w:p>
    <w:p w14:paraId="08B45DF3">
      <w:pPr>
        <w:pStyle w:val="29"/>
        <w:rPr>
          <w:rFonts w:hint="default"/>
          <w:lang w:val="en-US" w:eastAsia="zh-CN"/>
        </w:rPr>
      </w:pPr>
      <w:r>
        <w:rPr>
          <w:rFonts w:hint="default"/>
          <w:lang w:val="en-US" w:eastAsia="zh-CN"/>
        </w:rPr>
        <w:t>变更发起人填写《变更申请书》，并提交至运维管理部。</w:t>
      </w:r>
    </w:p>
    <w:p w14:paraId="3F025E7E">
      <w:pPr>
        <w:pStyle w:val="29"/>
        <w:rPr>
          <w:rFonts w:hint="default"/>
          <w:lang w:val="en-US" w:eastAsia="zh-CN"/>
        </w:rPr>
      </w:pPr>
      <w:r>
        <w:rPr>
          <w:rFonts w:hint="default"/>
          <w:lang w:val="en-US" w:eastAsia="zh-CN"/>
        </w:rPr>
        <w:t>运维管理部组织相关人员对变更的必要性、可行性及对SLA、配置项等的影响进行评审。</w:t>
      </w:r>
    </w:p>
    <w:p w14:paraId="0D502DDC">
      <w:pPr>
        <w:pStyle w:val="29"/>
        <w:rPr>
          <w:rFonts w:hint="default"/>
          <w:lang w:val="en-US" w:eastAsia="zh-CN"/>
        </w:rPr>
      </w:pPr>
      <w:r>
        <w:rPr>
          <w:rFonts w:hint="default"/>
          <w:lang w:val="en-US" w:eastAsia="zh-CN"/>
        </w:rPr>
        <w:t>评审通过后，按照《</w:t>
      </w:r>
      <w:r>
        <w:rPr>
          <w:rFonts w:hint="eastAsia"/>
          <w:lang w:val="en-US" w:eastAsia="zh-CN"/>
        </w:rPr>
        <w:t>文件管理制度</w:t>
      </w:r>
      <w:r>
        <w:rPr>
          <w:rFonts w:hint="default"/>
          <w:lang w:val="en-US" w:eastAsia="zh-CN"/>
        </w:rPr>
        <w:t>》和《配置管理</w:t>
      </w:r>
      <w:r>
        <w:rPr>
          <w:rFonts w:hint="eastAsia"/>
          <w:lang w:val="en-US" w:eastAsia="zh-CN"/>
        </w:rPr>
        <w:t>制度</w:t>
      </w:r>
      <w:r>
        <w:rPr>
          <w:rFonts w:hint="default"/>
          <w:lang w:val="en-US" w:eastAsia="zh-CN"/>
        </w:rPr>
        <w:t>》实施更改，确保相关文件同步更新。</w:t>
      </w:r>
    </w:p>
    <w:p w14:paraId="2F9DDE30">
      <w:pPr>
        <w:pStyle w:val="29"/>
        <w:rPr>
          <w:rFonts w:hint="default"/>
          <w:lang w:val="en-US" w:eastAsia="zh-CN"/>
        </w:rPr>
      </w:pPr>
      <w:r>
        <w:rPr>
          <w:rFonts w:hint="default"/>
          <w:lang w:val="en-US" w:eastAsia="zh-CN"/>
        </w:rPr>
        <w:t>运维管理部负责对变更后的实施效果进行跟踪验证。</w:t>
      </w:r>
    </w:p>
    <w:p w14:paraId="03D74D1B">
      <w:pPr>
        <w:pStyle w:val="30"/>
        <w:bidi w:val="0"/>
        <w:rPr>
          <w:rFonts w:hint="default"/>
          <w:lang w:val="en-US" w:eastAsia="zh-CN"/>
        </w:rPr>
      </w:pPr>
      <w:bookmarkStart w:id="22" w:name="_Toc26350"/>
      <w:r>
        <w:rPr>
          <w:rFonts w:hint="default"/>
          <w:lang w:val="en-US" w:eastAsia="zh-CN"/>
        </w:rPr>
        <w:t>服务目录的使用</w:t>
      </w:r>
      <w:bookmarkEnd w:id="22"/>
    </w:p>
    <w:p w14:paraId="6640892C">
      <w:pPr>
        <w:pStyle w:val="31"/>
        <w:bidi w:val="0"/>
        <w:rPr>
          <w:rFonts w:hint="default"/>
          <w:lang w:val="en-US" w:eastAsia="zh-CN"/>
        </w:rPr>
      </w:pPr>
      <w:bookmarkStart w:id="23" w:name="_Toc28471"/>
      <w:r>
        <w:rPr>
          <w:rFonts w:hint="default"/>
          <w:lang w:val="en-US" w:eastAsia="zh-CN"/>
        </w:rPr>
        <w:t>服务能力展示</w:t>
      </w:r>
      <w:bookmarkEnd w:id="23"/>
    </w:p>
    <w:p w14:paraId="2667F85F">
      <w:pPr>
        <w:pStyle w:val="29"/>
        <w:bidi w:val="0"/>
        <w:rPr>
          <w:rFonts w:hint="default"/>
          <w:lang w:val="en-US" w:eastAsia="zh-CN"/>
        </w:rPr>
      </w:pPr>
      <w:r>
        <w:rPr>
          <w:rFonts w:hint="default"/>
          <w:lang w:val="en-US" w:eastAsia="zh-CN"/>
        </w:rPr>
        <w:t>在售前及客户沟通中，可向客户展示服务目录列表，作为公司服务能力的证明。</w:t>
      </w:r>
    </w:p>
    <w:p w14:paraId="1A25F653">
      <w:pPr>
        <w:pStyle w:val="31"/>
        <w:bidi w:val="0"/>
        <w:rPr>
          <w:rFonts w:hint="default"/>
          <w:lang w:val="en-US" w:eastAsia="zh-CN"/>
        </w:rPr>
      </w:pPr>
      <w:bookmarkStart w:id="24" w:name="_Toc13194"/>
      <w:r>
        <w:rPr>
          <w:rFonts w:hint="default"/>
          <w:lang w:val="en-US" w:eastAsia="zh-CN"/>
        </w:rPr>
        <w:t>服务交付依据</w:t>
      </w:r>
      <w:bookmarkEnd w:id="24"/>
    </w:p>
    <w:p w14:paraId="76EBC19D">
      <w:pPr>
        <w:pStyle w:val="29"/>
        <w:bidi w:val="0"/>
        <w:rPr>
          <w:rFonts w:hint="default"/>
          <w:lang w:val="en-US" w:eastAsia="zh-CN"/>
        </w:rPr>
      </w:pPr>
      <w:r>
        <w:rPr>
          <w:rFonts w:hint="default"/>
          <w:lang w:val="en-US" w:eastAsia="zh-CN"/>
        </w:rPr>
        <w:t>运维项目组必须严格按照经批准的项目级服务目录（服务详述）中规定的服务内容、级别、频次、交付物和交付方式提供服务。</w:t>
      </w:r>
    </w:p>
    <w:p w14:paraId="4CF858C6">
      <w:pPr>
        <w:pStyle w:val="30"/>
        <w:bidi w:val="0"/>
        <w:rPr>
          <w:rFonts w:hint="default"/>
          <w:lang w:val="en-US" w:eastAsia="zh-CN"/>
        </w:rPr>
      </w:pPr>
      <w:bookmarkStart w:id="25" w:name="_Toc16504"/>
      <w:r>
        <w:rPr>
          <w:rFonts w:hint="default"/>
          <w:lang w:val="en-US" w:eastAsia="zh-CN"/>
        </w:rPr>
        <w:t>与其他流程的关系</w:t>
      </w:r>
      <w:bookmarkEnd w:id="25"/>
    </w:p>
    <w:p w14:paraId="7D05B4C6">
      <w:pPr>
        <w:pStyle w:val="31"/>
        <w:bidi w:val="0"/>
        <w:rPr>
          <w:rFonts w:hint="default"/>
          <w:lang w:val="en-US" w:eastAsia="zh-CN"/>
        </w:rPr>
      </w:pPr>
      <w:bookmarkStart w:id="26" w:name="_Toc30633"/>
      <w:r>
        <w:rPr>
          <w:rFonts w:hint="default"/>
          <w:lang w:val="en-US" w:eastAsia="zh-CN"/>
        </w:rPr>
        <w:t>与服务级别管理（SLM）</w:t>
      </w:r>
      <w:bookmarkEnd w:id="26"/>
    </w:p>
    <w:p w14:paraId="595A5437">
      <w:pPr>
        <w:pStyle w:val="29"/>
        <w:bidi w:val="0"/>
        <w:rPr>
          <w:rFonts w:hint="default"/>
          <w:lang w:val="en-US" w:eastAsia="zh-CN"/>
        </w:rPr>
      </w:pPr>
      <w:r>
        <w:rPr>
          <w:rFonts w:hint="default"/>
          <w:lang w:val="en-US" w:eastAsia="zh-CN"/>
        </w:rPr>
        <w:t>服务目录是定义服务级别协议（SLA）的基础。SLA中的服务项和指标必须源自服务目录。</w:t>
      </w:r>
    </w:p>
    <w:p w14:paraId="3A5BE99D">
      <w:pPr>
        <w:pStyle w:val="31"/>
        <w:bidi w:val="0"/>
        <w:rPr>
          <w:rFonts w:hint="default"/>
          <w:lang w:val="en-US" w:eastAsia="zh-CN"/>
        </w:rPr>
      </w:pPr>
      <w:bookmarkStart w:id="27" w:name="_Toc13591"/>
      <w:r>
        <w:rPr>
          <w:rFonts w:hint="default"/>
          <w:lang w:val="en-US" w:eastAsia="zh-CN"/>
        </w:rPr>
        <w:t>与配置管理</w:t>
      </w:r>
      <w:bookmarkEnd w:id="27"/>
    </w:p>
    <w:p w14:paraId="5BC5313A">
      <w:pPr>
        <w:pStyle w:val="29"/>
        <w:rPr>
          <w:rFonts w:hint="default"/>
          <w:lang w:val="en-US" w:eastAsia="zh-CN"/>
        </w:rPr>
      </w:pPr>
      <w:r>
        <w:rPr>
          <w:rStyle w:val="42"/>
          <w:rFonts w:hint="default"/>
          <w:lang w:val="en-US" w:eastAsia="zh-CN"/>
        </w:rPr>
        <w:t>服务目录本身作为重要的配置项，需纳入配置管理数据库（CMDB）进行版本控制和管理</w:t>
      </w:r>
      <w:r>
        <w:rPr>
          <w:rFonts w:hint="default"/>
          <w:lang w:val="en-US" w:eastAsia="zh-CN"/>
        </w:rPr>
        <w:t>。</w:t>
      </w:r>
    </w:p>
    <w:p w14:paraId="526CFF72">
      <w:pPr>
        <w:pStyle w:val="30"/>
        <w:bidi w:val="0"/>
        <w:rPr>
          <w:rFonts w:hint="default"/>
          <w:lang w:val="en-US" w:eastAsia="zh-CN"/>
        </w:rPr>
      </w:pPr>
      <w:bookmarkStart w:id="28" w:name="_Toc7419"/>
      <w:r>
        <w:rPr>
          <w:rFonts w:hint="default"/>
          <w:lang w:val="en-US" w:eastAsia="zh-CN"/>
        </w:rPr>
        <w:t>检查、总结与改进</w:t>
      </w:r>
      <w:bookmarkEnd w:id="28"/>
    </w:p>
    <w:p w14:paraId="2A1525E3">
      <w:pPr>
        <w:pStyle w:val="31"/>
        <w:bidi w:val="0"/>
        <w:rPr>
          <w:rFonts w:hint="default"/>
          <w:lang w:val="en-US" w:eastAsia="zh-CN"/>
        </w:rPr>
      </w:pPr>
      <w:bookmarkStart w:id="29" w:name="_Toc26932"/>
      <w:r>
        <w:rPr>
          <w:rFonts w:hint="default"/>
          <w:lang w:val="en-US" w:eastAsia="zh-CN"/>
        </w:rPr>
        <w:t>执行情况检查</w:t>
      </w:r>
      <w:bookmarkEnd w:id="29"/>
    </w:p>
    <w:p w14:paraId="386780C9">
      <w:pPr>
        <w:pStyle w:val="29"/>
        <w:bidi w:val="0"/>
        <w:rPr>
          <w:rFonts w:hint="default"/>
          <w:lang w:val="en-US" w:eastAsia="zh-CN"/>
        </w:rPr>
      </w:pPr>
      <w:r>
        <w:rPr>
          <w:rFonts w:hint="default"/>
          <w:lang w:val="en-US" w:eastAsia="zh-CN"/>
        </w:rPr>
        <w:t>运维管理部经理定期组织检查各项目服务目录的执行情况，包括服务交付符合性、客户满意度、资源适配度等。</w:t>
      </w:r>
    </w:p>
    <w:p w14:paraId="57B3E7A1">
      <w:pPr>
        <w:pStyle w:val="31"/>
        <w:bidi w:val="0"/>
        <w:rPr>
          <w:rFonts w:hint="default"/>
          <w:lang w:val="en-US" w:eastAsia="zh-CN"/>
        </w:rPr>
      </w:pPr>
      <w:bookmarkStart w:id="30" w:name="_Toc2954"/>
      <w:r>
        <w:rPr>
          <w:rFonts w:hint="default"/>
          <w:lang w:val="en-US" w:eastAsia="zh-CN"/>
        </w:rPr>
        <w:t>年度总结</w:t>
      </w:r>
      <w:bookmarkEnd w:id="30"/>
    </w:p>
    <w:p w14:paraId="1194A1C6">
      <w:pPr>
        <w:pStyle w:val="29"/>
        <w:bidi w:val="0"/>
        <w:rPr>
          <w:rFonts w:hint="default"/>
          <w:lang w:val="en-US" w:eastAsia="zh-CN"/>
        </w:rPr>
      </w:pPr>
      <w:r>
        <w:rPr>
          <w:rFonts w:hint="default"/>
          <w:lang w:val="en-US" w:eastAsia="zh-CN"/>
        </w:rPr>
        <w:t>运维管理部应在年度总结中，对各项目服务目录的执行情况进行汇总分析，评估服务成效与资源使用效率。</w:t>
      </w:r>
    </w:p>
    <w:p w14:paraId="7FC93789">
      <w:pPr>
        <w:pStyle w:val="31"/>
        <w:bidi w:val="0"/>
        <w:rPr>
          <w:rFonts w:hint="default"/>
          <w:lang w:val="en-US" w:eastAsia="zh-CN"/>
        </w:rPr>
      </w:pPr>
      <w:bookmarkStart w:id="31" w:name="_Toc6004"/>
      <w:r>
        <w:rPr>
          <w:rFonts w:hint="default"/>
          <w:lang w:val="en-US" w:eastAsia="zh-CN"/>
        </w:rPr>
        <w:t>持续改进</w:t>
      </w:r>
      <w:bookmarkEnd w:id="31"/>
    </w:p>
    <w:p w14:paraId="76795D00">
      <w:pPr>
        <w:pStyle w:val="29"/>
        <w:bidi w:val="0"/>
        <w:rPr>
          <w:rFonts w:hint="default"/>
          <w:lang w:val="en-US" w:eastAsia="zh-CN"/>
        </w:rPr>
      </w:pPr>
      <w:r>
        <w:rPr>
          <w:rFonts w:hint="default"/>
          <w:lang w:val="en-US" w:eastAsia="zh-CN"/>
        </w:rPr>
        <w:t>对检查与总结中发现的问题，应启动改进措施，必要时通过变更流程优化服务目录。</w:t>
      </w:r>
    </w:p>
    <w:p w14:paraId="0E37B01F">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2" w:name="bookmark3"/>
      <w:bookmarkEnd w:id="32"/>
      <w:bookmarkStart w:id="33" w:name="_Toc17424"/>
      <w:bookmarkStart w:id="34" w:name="_Toc17187"/>
      <w:r>
        <w:rPr>
          <w:rStyle w:val="38"/>
          <w:rFonts w:hint="eastAsia" w:eastAsia="宋体"/>
          <w:lang w:val="en-US" w:eastAsia="zh-CN"/>
        </w:rPr>
        <w:t>附则</w:t>
      </w:r>
      <w:bookmarkEnd w:id="33"/>
      <w:bookmarkEnd w:id="34"/>
    </w:p>
    <w:p w14:paraId="2AB00724">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运维管理部</w:t>
      </w:r>
      <w:r>
        <w:rPr>
          <w:rFonts w:ascii="宋体" w:hAnsi="宋体" w:eastAsia="宋体" w:cs="宋体"/>
          <w:spacing w:val="-1"/>
          <w:sz w:val="24"/>
          <w:szCs w:val="24"/>
        </w:rPr>
        <w:t>。</w:t>
      </w:r>
    </w:p>
    <w:p w14:paraId="1CC56E1F">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F1192D0">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bookmark14"/>
      <w:bookmarkEnd w:id="35"/>
      <w:bookmarkStart w:id="36" w:name="_Toc6468"/>
      <w:r>
        <w:rPr>
          <w:rFonts w:hint="eastAsia"/>
          <w:lang w:val="en-US" w:eastAsia="zh-CN"/>
        </w:rPr>
        <w:t>附件</w:t>
      </w:r>
      <w:bookmarkEnd w:id="36"/>
    </w:p>
    <w:p w14:paraId="19EA6DFA">
      <w:pPr>
        <w:pStyle w:val="29"/>
        <w:rPr>
          <w:rFonts w:hint="default"/>
          <w:lang w:val="en-US" w:eastAsia="zh-CN"/>
        </w:rPr>
      </w:pPr>
      <w:r>
        <w:rPr>
          <w:rFonts w:hint="eastAsia"/>
          <w:lang w:val="en-US" w:eastAsia="zh-CN"/>
        </w:rPr>
        <w:t>《变更申请书》</w:t>
      </w:r>
    </w:p>
    <w:p w14:paraId="7D36FEF1">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7" w:name="_Toc29957"/>
      <w:r>
        <w:rPr>
          <w:rFonts w:hint="eastAsia"/>
          <w:lang w:val="en-US" w:eastAsia="zh-CN"/>
        </w:rPr>
        <w:t>记录</w:t>
      </w:r>
      <w:bookmarkEnd w:id="37"/>
    </w:p>
    <w:p w14:paraId="54E46B7C">
      <w:pPr>
        <w:pStyle w:val="29"/>
        <w:rPr>
          <w:rFonts w:hint="eastAsia"/>
          <w:lang w:val="en-US" w:eastAsia="zh-CN"/>
        </w:rPr>
      </w:pPr>
      <w:r>
        <w:rPr>
          <w:rFonts w:hint="eastAsia"/>
          <w:lang w:val="en-US" w:eastAsia="zh-CN"/>
        </w:rP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F486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A27A2"/>
    <w:multiLevelType w:val="singleLevel"/>
    <w:tmpl w:val="822A27A2"/>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0E8ABBD"/>
    <w:multiLevelType w:val="singleLevel"/>
    <w:tmpl w:val="A0E8ABBD"/>
    <w:lvl w:ilvl="0" w:tentative="0">
      <w:start w:val="1"/>
      <w:numFmt w:val="decimal"/>
      <w:lvlText w:val="%1."/>
      <w:lvlJc w:val="left"/>
      <w:pPr>
        <w:ind w:left="425" w:hanging="425"/>
      </w:pPr>
      <w:rPr>
        <w:rFonts w:hint="default"/>
      </w:rPr>
    </w:lvl>
  </w:abstractNum>
  <w:abstractNum w:abstractNumId="3">
    <w:nsid w:val="C3232CFA"/>
    <w:multiLevelType w:val="singleLevel"/>
    <w:tmpl w:val="C3232CFA"/>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D45050"/>
    <w:rsid w:val="06936FD0"/>
    <w:rsid w:val="0DA815B3"/>
    <w:rsid w:val="3EFB3F30"/>
    <w:rsid w:val="40F86F30"/>
    <w:rsid w:val="5AC538C7"/>
    <w:rsid w:val="63D00091"/>
    <w:rsid w:val="6A551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2062</Words>
  <Characters>2336</Characters>
  <Lines>0</Lines>
  <Paragraphs>0</Paragraphs>
  <TotalTime>14</TotalTime>
  <ScaleCrop>false</ScaleCrop>
  <LinksUpToDate>false</LinksUpToDate>
  <CharactersWithSpaces>2775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2026-01-15T15:18:59Z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