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987"/>
      <w:bookmarkStart w:id="1" w:name="_GoBack"/>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bookmarkEnd w:id="1"/>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2" w:name="_Toc23848"/>
      <w:r>
        <w:rPr>
          <w:rFonts w:hint="eastAsia"/>
          <w:lang w:val="en-US" w:eastAsia="zh-CN"/>
        </w:rPr>
        <w:t>运维应急管理制度</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XDYJ</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10</w:t>
      </w:r>
      <w:r>
        <w:rPr>
          <w:rFonts w:ascii="宋体" w:eastAsia="宋体" w:hAnsi="宋体" w:cs="宋体"/>
          <w:b/>
          <w:bCs/>
          <w:spacing w:val="-3"/>
          <w:sz w:val="24"/>
          <w:szCs w:val="24"/>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运维管理部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孙玥</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孙玥</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_Toc26987 </w:instrText>
          </w:r>
          <w:r>
            <w:rPr>
              <w:rFonts w:ascii="宋体" w:eastAsia="宋体" w:hAnsi="宋体" w:cs="宋体" w:hint="eastAsia"/>
              <w:szCs w:val="24"/>
            </w:rPr>
            <w:fldChar w:fldCharType="separate"/>
          </w:r>
          <w:r>
            <w:rPr>
              <w:rFonts w:hint="eastAsia"/>
              <w:lang w:val="en-US" w:eastAsia="zh-CN"/>
            </w:rPr>
            <w:t>北京新都远景网络技术有限公司</w:t>
          </w:r>
          <w:r>
            <w:tab/>
          </w:r>
          <w:r>
            <w:fldChar w:fldCharType="begin"/>
          </w:r>
          <w:r>
            <w:instrText xml:space="preserve"> PAGEREF _Toc26987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_Toc23848 </w:instrText>
          </w:r>
          <w:r>
            <w:rPr>
              <w:rFonts w:ascii="宋体" w:eastAsia="宋体" w:hAnsi="宋体" w:cs="宋体" w:hint="eastAsia"/>
              <w:szCs w:val="24"/>
            </w:rPr>
            <w:fldChar w:fldCharType="separate"/>
          </w:r>
          <w:r>
            <w:rPr>
              <w:rFonts w:hint="eastAsia"/>
              <w:lang w:val="en-US" w:eastAsia="zh-CN"/>
            </w:rPr>
            <w:t>运维应急管理制度</w:t>
          </w:r>
          <w:r>
            <w:tab/>
          </w:r>
          <w:r>
            <w:fldChar w:fldCharType="begin"/>
          </w:r>
          <w:r>
            <w:instrText xml:space="preserve"> PAGEREF _Toc23848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_Toc18641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_Toc18641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_Toc25960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_Toc25960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_Toc5214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_Toc5214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_Toc20223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_Toc20223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_Toc1921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_Toc1921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_Toc10232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副总</w:t>
          </w:r>
          <w:r>
            <w:tab/>
          </w:r>
          <w:r>
            <w:fldChar w:fldCharType="begin"/>
          </w:r>
          <w:r>
            <w:instrText xml:space="preserve"> PAGEREF _Toc10232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_Toc7953 </w:instrText>
          </w:r>
          <w:r>
            <w:rPr>
              <w:rFonts w:ascii="宋体" w:eastAsia="宋体" w:hAnsi="宋体" w:cs="宋体" w:hint="eastAsia"/>
              <w:szCs w:val="24"/>
            </w:rPr>
            <w:fldChar w:fldCharType="separate"/>
          </w:r>
          <w:r>
            <w:rPr>
              <w:rFonts w:hint="default"/>
              <w:lang w:val="en-US" w:eastAsia="zh-CN"/>
            </w:rPr>
            <w:t xml:space="preserve">1.4.2. </w:t>
          </w:r>
          <w:r>
            <w:rPr>
              <w:rFonts w:hint="eastAsia"/>
              <w:lang w:val="en-US" w:eastAsia="zh-CN"/>
            </w:rPr>
            <w:t>运维管理部经理</w:t>
          </w:r>
          <w:r>
            <w:tab/>
          </w:r>
          <w:r>
            <w:fldChar w:fldCharType="begin"/>
          </w:r>
          <w:r>
            <w:instrText xml:space="preserve"> PAGEREF _Toc7953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_Toc19703 </w:instrText>
          </w:r>
          <w:r>
            <w:rPr>
              <w:rFonts w:ascii="宋体" w:eastAsia="宋体" w:hAnsi="宋体" w:cs="宋体" w:hint="eastAsia"/>
              <w:szCs w:val="24"/>
            </w:rPr>
            <w:fldChar w:fldCharType="separate"/>
          </w:r>
          <w:r>
            <w:rPr>
              <w:rFonts w:hint="default"/>
              <w:lang w:val="en-US" w:eastAsia="zh-CN"/>
            </w:rPr>
            <w:t xml:space="preserve">1.4.3. </w:t>
          </w:r>
          <w:r>
            <w:rPr>
              <w:rFonts w:hint="eastAsia"/>
              <w:lang w:val="en-US" w:eastAsia="zh-CN"/>
            </w:rPr>
            <w:t>运维项目经理</w:t>
          </w:r>
          <w:r>
            <w:tab/>
          </w:r>
          <w:r>
            <w:fldChar w:fldCharType="begin"/>
          </w:r>
          <w:r>
            <w:instrText xml:space="preserve"> PAGEREF _Toc19703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_Toc29600 </w:instrText>
          </w:r>
          <w:r>
            <w:rPr>
              <w:rFonts w:ascii="宋体" w:eastAsia="宋体" w:hAnsi="宋体" w:cs="宋体" w:hint="eastAsia"/>
              <w:szCs w:val="24"/>
            </w:rPr>
            <w:fldChar w:fldCharType="separate"/>
          </w:r>
          <w:r>
            <w:rPr>
              <w:rFonts w:hint="default"/>
              <w:lang w:val="en-US" w:eastAsia="zh-CN"/>
            </w:rPr>
            <w:t xml:space="preserve">1.4.4. </w:t>
          </w:r>
          <w:r>
            <w:rPr>
              <w:rFonts w:hint="eastAsia"/>
              <w:lang w:val="en-US" w:eastAsia="zh-CN"/>
            </w:rPr>
            <w:t>运维工程师</w:t>
          </w:r>
          <w:r>
            <w:tab/>
          </w:r>
          <w:r>
            <w:fldChar w:fldCharType="begin"/>
          </w:r>
          <w:r>
            <w:instrText xml:space="preserve"> PAGEREF _Toc29600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_Toc28868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_Toc28868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_Toc24425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_Toc24425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_Toc29943 </w:instrText>
          </w:r>
          <w:r>
            <w:rPr>
              <w:rFonts w:ascii="宋体" w:eastAsia="宋体" w:hAnsi="宋体" w:cs="宋体" w:hint="eastAsia"/>
              <w:szCs w:val="24"/>
            </w:rPr>
            <w:fldChar w:fldCharType="separate"/>
          </w:r>
          <w:r>
            <w:rPr>
              <w:rFonts w:hint="default"/>
            </w:rPr>
            <w:t xml:space="preserve">3.1. </w:t>
          </w:r>
          <w:r>
            <w:rPr>
              <w:rFonts w:hint="eastAsia"/>
            </w:rPr>
            <w:t>应急事件</w:t>
          </w:r>
          <w:r>
            <w:tab/>
          </w:r>
          <w:r>
            <w:fldChar w:fldCharType="begin"/>
          </w:r>
          <w:r>
            <w:instrText xml:space="preserve"> PAGEREF _Toc29943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_Toc5320 </w:instrText>
          </w:r>
          <w:r>
            <w:rPr>
              <w:rFonts w:ascii="宋体" w:eastAsia="宋体" w:hAnsi="宋体" w:cs="宋体" w:hint="eastAsia"/>
              <w:szCs w:val="24"/>
            </w:rPr>
            <w:fldChar w:fldCharType="separate"/>
          </w:r>
          <w:r>
            <w:rPr>
              <w:rFonts w:hint="default"/>
            </w:rPr>
            <w:t xml:space="preserve">3.2. </w:t>
          </w:r>
          <w:r>
            <w:rPr>
              <w:rFonts w:hint="eastAsia"/>
            </w:rPr>
            <w:t>重点时段保障</w:t>
          </w:r>
          <w:r>
            <w:tab/>
          </w:r>
          <w:r>
            <w:fldChar w:fldCharType="begin"/>
          </w:r>
          <w:r>
            <w:instrText xml:space="preserve"> PAGEREF _Toc5320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_Toc17686 </w:instrText>
          </w:r>
          <w:r>
            <w:rPr>
              <w:rFonts w:ascii="宋体" w:eastAsia="宋体" w:hAnsi="宋体" w:cs="宋体" w:hint="eastAsia"/>
              <w:szCs w:val="24"/>
            </w:rPr>
            <w:fldChar w:fldCharType="separate"/>
          </w:r>
          <w:r>
            <w:rPr>
              <w:rFonts w:hint="default"/>
            </w:rPr>
            <w:t xml:space="preserve">3.3. </w:t>
          </w:r>
          <w:r>
            <w:rPr>
              <w:rFonts w:hint="eastAsia"/>
            </w:rPr>
            <w:t>应急响应</w:t>
          </w:r>
          <w:r>
            <w:tab/>
          </w:r>
          <w:r>
            <w:fldChar w:fldCharType="begin"/>
          </w:r>
          <w:r>
            <w:instrText xml:space="preserve"> PAGEREF _Toc17686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_Toc12635 </w:instrText>
          </w:r>
          <w:r>
            <w:rPr>
              <w:rFonts w:ascii="宋体" w:eastAsia="宋体" w:hAnsi="宋体" w:cs="宋体" w:hint="eastAsia"/>
              <w:szCs w:val="24"/>
            </w:rPr>
            <w:fldChar w:fldCharType="separate"/>
          </w:r>
          <w:r>
            <w:rPr>
              <w:rFonts w:hint="default"/>
            </w:rPr>
            <w:t xml:space="preserve">3.4. </w:t>
          </w:r>
          <w:r>
            <w:rPr>
              <w:rFonts w:hint="eastAsia"/>
            </w:rPr>
            <w:t>利益相关方</w:t>
          </w:r>
          <w:r>
            <w:tab/>
          </w:r>
          <w:r>
            <w:fldChar w:fldCharType="begin"/>
          </w:r>
          <w:r>
            <w:instrText xml:space="preserve"> PAGEREF _Toc12635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_Toc12206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_Toc12206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_Toc31549 </w:instrText>
          </w:r>
          <w:r>
            <w:rPr>
              <w:rFonts w:ascii="宋体" w:eastAsia="宋体" w:hAnsi="宋体" w:cs="宋体" w:hint="eastAsia"/>
              <w:szCs w:val="24"/>
            </w:rPr>
            <w:fldChar w:fldCharType="separate"/>
          </w:r>
          <w:r>
            <w:rPr>
              <w:rFonts w:hint="default"/>
              <w:lang w:val="en-US" w:eastAsia="zh-CN"/>
            </w:rPr>
            <w:t>4.1. 应急准备</w:t>
          </w:r>
          <w:r>
            <w:tab/>
          </w:r>
          <w:r>
            <w:fldChar w:fldCharType="begin"/>
          </w:r>
          <w:r>
            <w:instrText xml:space="preserve"> PAGEREF _Toc31549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_Toc21805 </w:instrText>
          </w:r>
          <w:r>
            <w:rPr>
              <w:rFonts w:ascii="宋体" w:eastAsia="宋体" w:hAnsi="宋体" w:cs="宋体" w:hint="eastAsia"/>
              <w:szCs w:val="24"/>
            </w:rPr>
            <w:fldChar w:fldCharType="separate"/>
          </w:r>
          <w:r>
            <w:rPr>
              <w:rFonts w:hint="default"/>
              <w:lang w:val="en-US" w:eastAsia="zh-CN"/>
            </w:rPr>
            <w:t>4.1.1. 应急响应组织建立</w:t>
          </w:r>
          <w:r>
            <w:tab/>
          </w:r>
          <w:r>
            <w:fldChar w:fldCharType="begin"/>
          </w:r>
          <w:r>
            <w:instrText xml:space="preserve"> PAGEREF _Toc21805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_Toc8437 </w:instrText>
          </w:r>
          <w:r>
            <w:rPr>
              <w:rFonts w:ascii="宋体" w:eastAsia="宋体" w:hAnsi="宋体" w:cs="宋体" w:hint="eastAsia"/>
              <w:szCs w:val="24"/>
            </w:rPr>
            <w:fldChar w:fldCharType="separate"/>
          </w:r>
          <w:r>
            <w:rPr>
              <w:rFonts w:hint="default"/>
              <w:lang w:val="en-US" w:eastAsia="zh-CN"/>
            </w:rPr>
            <w:t>4.1.2. 风险评估与改进</w:t>
          </w:r>
          <w:r>
            <w:tab/>
          </w:r>
          <w:r>
            <w:fldChar w:fldCharType="begin"/>
          </w:r>
          <w:r>
            <w:instrText xml:space="preserve"> PAGEREF _Toc8437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_Toc17028 </w:instrText>
          </w:r>
          <w:r>
            <w:rPr>
              <w:rFonts w:ascii="宋体" w:eastAsia="宋体" w:hAnsi="宋体" w:cs="宋体" w:hint="eastAsia"/>
              <w:szCs w:val="24"/>
            </w:rPr>
            <w:fldChar w:fldCharType="separate"/>
          </w:r>
          <w:r>
            <w:rPr>
              <w:rFonts w:hint="default"/>
              <w:lang w:val="en-US" w:eastAsia="zh-CN"/>
            </w:rPr>
            <w:t>4.1.3. 应急事件级别划分</w:t>
          </w:r>
          <w:r>
            <w:tab/>
          </w:r>
          <w:r>
            <w:fldChar w:fldCharType="begin"/>
          </w:r>
          <w:r>
            <w:instrText xml:space="preserve"> PAGEREF _Toc17028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_Toc23061 </w:instrText>
          </w:r>
          <w:r>
            <w:rPr>
              <w:rFonts w:ascii="宋体" w:eastAsia="宋体" w:hAnsi="宋体" w:cs="宋体" w:hint="eastAsia"/>
              <w:szCs w:val="24"/>
            </w:rPr>
            <w:fldChar w:fldCharType="separate"/>
          </w:r>
          <w:r>
            <w:rPr>
              <w:rFonts w:hint="default"/>
              <w:lang w:val="en-US" w:eastAsia="zh-CN"/>
            </w:rPr>
            <w:t>4.1.4. 应急响应预案管理</w:t>
          </w:r>
          <w:r>
            <w:tab/>
          </w:r>
          <w:r>
            <w:fldChar w:fldCharType="begin"/>
          </w:r>
          <w:r>
            <w:instrText xml:space="preserve"> PAGEREF _Toc23061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_Toc15832 </w:instrText>
          </w:r>
          <w:r>
            <w:rPr>
              <w:rFonts w:ascii="宋体" w:eastAsia="宋体" w:hAnsi="宋体" w:cs="宋体" w:hint="eastAsia"/>
              <w:szCs w:val="24"/>
            </w:rPr>
            <w:fldChar w:fldCharType="separate"/>
          </w:r>
          <w:r>
            <w:rPr>
              <w:rFonts w:hint="default"/>
              <w:lang w:val="en-US" w:eastAsia="zh-CN"/>
            </w:rPr>
            <w:t>4.2. 监测与预警</w:t>
          </w:r>
          <w:r>
            <w:tab/>
          </w:r>
          <w:r>
            <w:fldChar w:fldCharType="begin"/>
          </w:r>
          <w:r>
            <w:instrText xml:space="preserve"> PAGEREF _Toc15832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_Toc30110 </w:instrText>
          </w:r>
          <w:r>
            <w:rPr>
              <w:rFonts w:ascii="宋体" w:eastAsia="宋体" w:hAnsi="宋体" w:cs="宋体" w:hint="eastAsia"/>
              <w:szCs w:val="24"/>
            </w:rPr>
            <w:fldChar w:fldCharType="separate"/>
          </w:r>
          <w:r>
            <w:rPr>
              <w:rFonts w:hint="default"/>
              <w:lang w:val="en-US" w:eastAsia="zh-CN"/>
            </w:rPr>
            <w:t>4.2.1. 日常监测</w:t>
          </w:r>
          <w:r>
            <w:tab/>
          </w:r>
          <w:r>
            <w:fldChar w:fldCharType="begin"/>
          </w:r>
          <w:r>
            <w:instrText xml:space="preserve"> PAGEREF _Toc30110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_Toc15824 </w:instrText>
          </w:r>
          <w:r>
            <w:rPr>
              <w:rFonts w:ascii="宋体" w:eastAsia="宋体" w:hAnsi="宋体" w:cs="宋体" w:hint="eastAsia"/>
              <w:szCs w:val="24"/>
            </w:rPr>
            <w:fldChar w:fldCharType="separate"/>
          </w:r>
          <w:r>
            <w:rPr>
              <w:rFonts w:hint="default"/>
              <w:lang w:val="en-US" w:eastAsia="zh-CN"/>
            </w:rPr>
            <w:t>4.2.2. 核实与评估</w:t>
          </w:r>
          <w:r>
            <w:tab/>
          </w:r>
          <w:r>
            <w:fldChar w:fldCharType="begin"/>
          </w:r>
          <w:r>
            <w:instrText xml:space="preserve"> PAGEREF _Toc15824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_Toc3228 </w:instrText>
          </w:r>
          <w:r>
            <w:rPr>
              <w:rFonts w:ascii="宋体" w:eastAsia="宋体" w:hAnsi="宋体" w:cs="宋体" w:hint="eastAsia"/>
              <w:szCs w:val="24"/>
            </w:rPr>
            <w:fldChar w:fldCharType="separate"/>
          </w:r>
          <w:r>
            <w:rPr>
              <w:rFonts w:hint="default"/>
              <w:lang w:val="en-US" w:eastAsia="zh-CN"/>
            </w:rPr>
            <w:t>4.3. 应急处置</w:t>
          </w:r>
          <w:r>
            <w:tab/>
          </w:r>
          <w:r>
            <w:fldChar w:fldCharType="begin"/>
          </w:r>
          <w:r>
            <w:instrText xml:space="preserve"> PAGEREF _Toc3228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_Toc2115 </w:instrText>
          </w:r>
          <w:r>
            <w:rPr>
              <w:rFonts w:ascii="宋体" w:eastAsia="宋体" w:hAnsi="宋体" w:cs="宋体" w:hint="eastAsia"/>
              <w:szCs w:val="24"/>
            </w:rPr>
            <w:fldChar w:fldCharType="separate"/>
          </w:r>
          <w:r>
            <w:rPr>
              <w:rFonts w:hint="default"/>
              <w:lang w:val="en-US" w:eastAsia="zh-CN"/>
            </w:rPr>
            <w:t>4.3.1. 应急响应启动</w:t>
          </w:r>
          <w:r>
            <w:tab/>
          </w:r>
          <w:r>
            <w:fldChar w:fldCharType="begin"/>
          </w:r>
          <w:r>
            <w:instrText xml:space="preserve"> PAGEREF _Toc2115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_Toc670 </w:instrText>
          </w:r>
          <w:r>
            <w:rPr>
              <w:rFonts w:ascii="宋体" w:eastAsia="宋体" w:hAnsi="宋体" w:cs="宋体" w:hint="eastAsia"/>
              <w:szCs w:val="24"/>
            </w:rPr>
            <w:fldChar w:fldCharType="separate"/>
          </w:r>
          <w:r>
            <w:rPr>
              <w:rFonts w:hint="default"/>
              <w:lang w:val="en-US" w:eastAsia="zh-CN"/>
            </w:rPr>
            <w:t>4.3.2. 应急调度与处置</w:t>
          </w:r>
          <w:r>
            <w:tab/>
          </w:r>
          <w:r>
            <w:fldChar w:fldCharType="begin"/>
          </w:r>
          <w:r>
            <w:instrText xml:space="preserve"> PAGEREF _Toc670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_Toc6987 </w:instrText>
          </w:r>
          <w:r>
            <w:rPr>
              <w:rFonts w:ascii="宋体" w:eastAsia="宋体" w:hAnsi="宋体" w:cs="宋体" w:hint="eastAsia"/>
              <w:szCs w:val="24"/>
            </w:rPr>
            <w:fldChar w:fldCharType="separate"/>
          </w:r>
          <w:r>
            <w:rPr>
              <w:rFonts w:hint="default"/>
              <w:lang w:val="en-US" w:eastAsia="zh-CN"/>
            </w:rPr>
            <w:t>4.3.3. 事件升级管理</w:t>
          </w:r>
          <w:r>
            <w:tab/>
          </w:r>
          <w:r>
            <w:fldChar w:fldCharType="begin"/>
          </w:r>
          <w:r>
            <w:instrText xml:space="preserve"> PAGEREF _Toc6987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_Toc2806 </w:instrText>
          </w:r>
          <w:r>
            <w:rPr>
              <w:rFonts w:ascii="宋体" w:eastAsia="宋体" w:hAnsi="宋体" w:cs="宋体" w:hint="eastAsia"/>
              <w:szCs w:val="24"/>
            </w:rPr>
            <w:fldChar w:fldCharType="separate"/>
          </w:r>
          <w:r>
            <w:rPr>
              <w:rFonts w:hint="default"/>
              <w:lang w:val="en-US" w:eastAsia="zh-CN"/>
            </w:rPr>
            <w:t>4.3.4. 事件关闭</w:t>
          </w:r>
          <w:r>
            <w:tab/>
          </w:r>
          <w:r>
            <w:fldChar w:fldCharType="begin"/>
          </w:r>
          <w:r>
            <w:instrText xml:space="preserve"> PAGEREF _Toc2806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_Toc23568 </w:instrText>
          </w:r>
          <w:r>
            <w:rPr>
              <w:rFonts w:ascii="宋体" w:eastAsia="宋体" w:hAnsi="宋体" w:cs="宋体" w:hint="eastAsia"/>
              <w:szCs w:val="24"/>
            </w:rPr>
            <w:fldChar w:fldCharType="separate"/>
          </w:r>
          <w:r>
            <w:rPr>
              <w:rFonts w:hint="default"/>
              <w:lang w:val="en-US" w:eastAsia="zh-CN"/>
            </w:rPr>
            <w:t>4.4. 总结改进</w:t>
          </w:r>
          <w:r>
            <w:tab/>
          </w:r>
          <w:r>
            <w:fldChar w:fldCharType="begin"/>
          </w:r>
          <w:r>
            <w:instrText xml:space="preserve"> PAGEREF _Toc23568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_Toc24801 </w:instrText>
          </w:r>
          <w:r>
            <w:rPr>
              <w:rFonts w:ascii="宋体" w:eastAsia="宋体" w:hAnsi="宋体" w:cs="宋体" w:hint="eastAsia"/>
              <w:szCs w:val="24"/>
            </w:rPr>
            <w:fldChar w:fldCharType="separate"/>
          </w:r>
          <w:r>
            <w:rPr>
              <w:rFonts w:hint="default"/>
              <w:lang w:val="en-US" w:eastAsia="zh-CN"/>
            </w:rPr>
            <w:t>4.4.1. 应急工作总结</w:t>
          </w:r>
          <w:r>
            <w:tab/>
          </w:r>
          <w:r>
            <w:fldChar w:fldCharType="begin"/>
          </w:r>
          <w:r>
            <w:instrText xml:space="preserve"> PAGEREF _Toc24801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_Toc8389 </w:instrText>
          </w:r>
          <w:r>
            <w:rPr>
              <w:rFonts w:ascii="宋体" w:eastAsia="宋体" w:hAnsi="宋体" w:cs="宋体" w:hint="eastAsia"/>
              <w:szCs w:val="24"/>
            </w:rPr>
            <w:fldChar w:fldCharType="separate"/>
          </w:r>
          <w:r>
            <w:rPr>
              <w:rFonts w:hint="default"/>
              <w:lang w:val="en-US" w:eastAsia="zh-CN"/>
            </w:rPr>
            <w:t>4.4.2. 应急工作改进</w:t>
          </w:r>
          <w:r>
            <w:tab/>
          </w:r>
          <w:r>
            <w:fldChar w:fldCharType="begin"/>
          </w:r>
          <w:r>
            <w:instrText xml:space="preserve"> PAGEREF _Toc8389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_Toc4614 </w:instrText>
          </w:r>
          <w:r>
            <w:rPr>
              <w:rFonts w:ascii="宋体" w:eastAsia="宋体" w:hAnsi="宋体" w:cs="宋体" w:hint="eastAsia"/>
              <w:szCs w:val="24"/>
            </w:rPr>
            <w:fldChar w:fldCharType="separate"/>
          </w:r>
          <w:r>
            <w:rPr>
              <w:rFonts w:hint="default"/>
              <w:lang w:val="en-US" w:eastAsia="zh-CN"/>
            </w:rPr>
            <w:t xml:space="preserve">4.5. </w:t>
          </w:r>
          <w:r>
            <w:rPr>
              <w:rFonts w:hint="eastAsia"/>
              <w:lang w:val="en-US" w:eastAsia="zh-CN"/>
            </w:rPr>
            <w:t>考核指标</w:t>
          </w:r>
          <w:r>
            <w:tab/>
          </w:r>
          <w:r>
            <w:fldChar w:fldCharType="begin"/>
          </w:r>
          <w:r>
            <w:instrText xml:space="preserve"> PAGEREF _Toc4614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_Toc6057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_Toc6057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_Toc30199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_Toc30199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_Toc23318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_Toc23318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18641"/>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25960"/>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为规范北京新都远景网络技术有限公司运维服务的应急响应管理，建立健全应急管理机制，有效预防和应对各类应急事件，确保在突发事件发生时能够快速响应、有效处置，最大限度地降低对业务的影响，保障运维服务的连续性和稳定性，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5214"/>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本制度适用于公司所有运维服务活动中涉及的应急管理工作，包括应急准备、监测与预警、应急处置和总结改进四个阶段的应急管理活动。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20223"/>
      <w:r>
        <w:rPr>
          <w:rFonts w:hint="eastAsia"/>
          <w:lang w:val="en-US" w:eastAsia="zh-CN"/>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预防为主原则：提高安全意识，实施风险评估，完善安全措施，加强监测与预警。</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统一管理原则：建立应急响应管理组织，突发事件统一管理，统一指挥。</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分级处理原则：划分突发事件级别，按事件级别响应处理，建立事件升级机制。</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有效快速原则：有效制定预案，及时发现，尽快恢复服务。</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及时通报原则：建立通报流程，及时汇报突发事件情况。</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先主后次原则：应急处理应首先保障主要信息系统的持续稳定运行。</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1921"/>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10232"/>
      <w:r>
        <w:rPr>
          <w:rFonts w:hint="eastAsia"/>
          <w:lang w:val="en-US" w:eastAsia="zh-CN"/>
        </w:rPr>
        <w:t>副总</w:t>
      </w:r>
      <w:bookmarkEnd w:id="8"/>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作为应急响应的最高管理组织，负责统筹、协调和决策应急响应工作。</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w:t>
      </w:r>
      <w:r>
        <w:rPr>
          <w:rFonts w:hint="eastAsia"/>
          <w:lang w:val="en-US" w:eastAsia="zh-CN"/>
        </w:rPr>
        <w:t>副总</w:t>
      </w:r>
      <w:r>
        <w:rPr>
          <w:rFonts w:hint="default"/>
          <w:lang w:val="en-US" w:eastAsia="zh-CN"/>
        </w:rPr>
        <w:t>担任负责人，各相关部门负责人作为成员。</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7953"/>
      <w:r>
        <w:rPr>
          <w:rFonts w:hint="eastAsia"/>
          <w:lang w:val="en-US" w:eastAsia="zh-CN"/>
        </w:rPr>
        <w:t>运维管理部经理</w:t>
      </w:r>
      <w:bookmarkEnd w:id="9"/>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统筹协调应急响应工作，可由服务需方的信息化部门最高管理者担任。</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负责应急响应工作的总体指挥和决策。</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19703"/>
      <w:r>
        <w:rPr>
          <w:rFonts w:hint="eastAsia"/>
          <w:lang w:val="en-US" w:eastAsia="zh-CN"/>
        </w:rPr>
        <w:t>运维项目经理</w:t>
      </w:r>
      <w:bookmarkEnd w:id="10"/>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w:t>
      </w:r>
      <w:r>
        <w:rPr>
          <w:rFonts w:hint="eastAsia"/>
          <w:lang w:val="en-US" w:eastAsia="zh-CN"/>
        </w:rPr>
        <w:t>副总</w:t>
      </w:r>
      <w:r>
        <w:rPr>
          <w:rFonts w:hint="default"/>
          <w:lang w:val="en-US" w:eastAsia="zh-CN"/>
        </w:rPr>
        <w:t>授权，负责应急事件监测与预警、应急处置等现场工作。</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通常由项目经理担任，负责现场指挥协调。</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29600"/>
      <w:r>
        <w:rPr>
          <w:rFonts w:hint="eastAsia"/>
          <w:lang w:val="en-US" w:eastAsia="zh-CN"/>
        </w:rPr>
        <w:t>运维工程师</w:t>
      </w:r>
      <w:bookmarkEnd w:id="11"/>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承担现场值守工作，负责日常监测和初步应急处理。</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由运维工程师担任，执行现场值班任务。</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负责应急事件的分析、处理与恢复。</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由运维管理部技术人员组成，执行具体的应急处置工作。</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8868"/>
      <w:r>
        <w:rPr>
          <w:rFonts w:hint="eastAsia"/>
          <w:lang w:val="en-US" w:eastAsia="zh-CN"/>
        </w:rPr>
        <w:t>引用依据</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本制度制定引用了以下国家标准与行业规范：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3" w:name="_Toc24425"/>
      <w:r>
        <w:rPr>
          <w:rFonts w:hint="eastAsia"/>
          <w:lang w:val="en-US" w:eastAsia="zh-CN"/>
        </w:rPr>
        <w:t>定义与术语</w:t>
      </w:r>
      <w:bookmarkEnd w:id="1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29943"/>
      <w:r>
        <w:rPr>
          <w:rFonts w:hint="eastAsia"/>
        </w:rPr>
        <w:t>应急事件</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导致或即将导致运行维护服务对象运行中断、运行质量降低，以及需要实施重点时段保障的事件。</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5320"/>
      <w:r>
        <w:rPr>
          <w:rFonts w:hint="eastAsia"/>
        </w:rPr>
        <w:t>重点时段保障</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提升服务级别以确保某一时间段内重要活动或重点业务的开展所采取的措施和活动。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17686"/>
      <w:r>
        <w:rPr>
          <w:rFonts w:hint="eastAsia"/>
        </w:rPr>
        <w:t>应急响应</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组织为预防、监控、处置和管理应急事件所采取的措施和活动。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12635"/>
      <w:r>
        <w:rPr>
          <w:rFonts w:hint="eastAsia"/>
        </w:rPr>
        <w:t>利益相关方</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在组织的决策或活动中有重要利益的个人或团体，包括服务需方、服务供方、分包方、供应商等。</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12206"/>
      <w:r>
        <w:rPr>
          <w:rFonts w:hint="eastAsia"/>
          <w:lang w:val="en-US" w:eastAsia="zh-CN"/>
        </w:rPr>
        <w:t>管理内容与要求</w:t>
      </w:r>
      <w:bookmarkEnd w:id="18"/>
    </w:p>
    <w:p>
      <w:pPr>
        <w:pStyle w:val="2"/>
        <w:bidi w:val="0"/>
        <w:rPr>
          <w:rFonts w:hint="default"/>
          <w:lang w:val="en-US" w:eastAsia="zh-CN"/>
        </w:rPr>
      </w:pPr>
      <w:bookmarkStart w:id="19" w:name="_Toc31549"/>
      <w:r>
        <w:rPr>
          <w:rFonts w:hint="default"/>
          <w:lang w:val="en-US" w:eastAsia="zh-CN"/>
        </w:rPr>
        <w:t>应急准备</w:t>
      </w:r>
      <w:bookmarkEnd w:id="19"/>
    </w:p>
    <w:p>
      <w:pPr>
        <w:pStyle w:val="3"/>
        <w:bidi w:val="0"/>
        <w:rPr>
          <w:rFonts w:hint="default"/>
          <w:lang w:val="en-US" w:eastAsia="zh-CN"/>
        </w:rPr>
      </w:pPr>
      <w:bookmarkStart w:id="20" w:name="_Toc21805"/>
      <w:r>
        <w:rPr>
          <w:rFonts w:hint="default"/>
          <w:lang w:val="en-US" w:eastAsia="zh-CN"/>
        </w:rPr>
        <w:t>应急响应组织建立</w:t>
      </w:r>
      <w:bookmarkEnd w:id="20"/>
    </w:p>
    <w:p>
      <w:pPr>
        <w:pStyle w:val="a1"/>
        <w:rPr>
          <w:rFonts w:hint="default"/>
          <w:lang w:val="en-US" w:eastAsia="zh-CN"/>
        </w:rPr>
      </w:pPr>
      <w:r>
        <w:rPr>
          <w:rFonts w:hint="default"/>
          <w:lang w:val="en-US" w:eastAsia="zh-CN"/>
        </w:rPr>
        <w:t>识别所有利益相关方，包括服务需方、服务供方、分包方、供应商等。</w:t>
      </w:r>
    </w:p>
    <w:p>
      <w:pPr>
        <w:pStyle w:val="a1"/>
        <w:rPr>
          <w:rFonts w:hint="default"/>
          <w:lang w:val="en-US" w:eastAsia="zh-CN"/>
        </w:rPr>
      </w:pPr>
      <w:r>
        <w:rPr>
          <w:rFonts w:hint="default"/>
          <w:lang w:val="en-US" w:eastAsia="zh-CN"/>
        </w:rPr>
        <w:t>在运维服务组织基础上建立应急响应组织，明确各角色职责。</w:t>
      </w:r>
    </w:p>
    <w:p>
      <w:pPr>
        <w:pStyle w:val="a1"/>
        <w:rPr>
          <w:rFonts w:hint="default"/>
          <w:lang w:val="en-US" w:eastAsia="zh-CN"/>
        </w:rPr>
      </w:pPr>
      <w:r>
        <w:rPr>
          <w:rFonts w:hint="default"/>
          <w:lang w:val="en-US" w:eastAsia="zh-CN"/>
        </w:rPr>
        <w:t>建立关键角色的备份机制，确保应急响应组织的持续有效性。</w:t>
      </w:r>
    </w:p>
    <w:p>
      <w:pPr>
        <w:pStyle w:val="a1"/>
        <w:rPr>
          <w:rFonts w:hint="default"/>
          <w:lang w:val="en-US" w:eastAsia="zh-CN"/>
        </w:rPr>
      </w:pPr>
      <w:r>
        <w:rPr>
          <w:rFonts w:hint="default"/>
          <w:lang w:val="en-US" w:eastAsia="zh-CN"/>
        </w:rPr>
        <w:t>建立对应急响应组织内人员的考核机制，每年至少进行一次考核。</w:t>
      </w:r>
    </w:p>
    <w:p>
      <w:pPr>
        <w:pStyle w:val="3"/>
        <w:bidi w:val="0"/>
        <w:rPr>
          <w:rFonts w:hint="default"/>
          <w:lang w:val="en-US" w:eastAsia="zh-CN"/>
        </w:rPr>
      </w:pPr>
      <w:bookmarkStart w:id="21" w:name="_Toc8437"/>
      <w:r>
        <w:rPr>
          <w:rFonts w:hint="default"/>
          <w:lang w:val="en-US" w:eastAsia="zh-CN"/>
        </w:rPr>
        <w:t>风险评估与改进</w:t>
      </w:r>
      <w:bookmarkEnd w:id="21"/>
    </w:p>
    <w:p>
      <w:pPr>
        <w:pStyle w:val="a1"/>
        <w:rPr>
          <w:rFonts w:hint="default"/>
          <w:lang w:val="en-US" w:eastAsia="zh-CN"/>
        </w:rPr>
      </w:pPr>
      <w:r>
        <w:rPr>
          <w:rFonts w:hint="default"/>
          <w:lang w:val="en-US" w:eastAsia="zh-CN"/>
        </w:rPr>
        <w:t>定期对重要信息系统实施风险评估，识别关键活动、资源和风险要素。</w:t>
      </w:r>
    </w:p>
    <w:p>
      <w:pPr>
        <w:pStyle w:val="a1"/>
        <w:rPr>
          <w:rFonts w:hint="default"/>
          <w:lang w:val="en-US" w:eastAsia="zh-CN"/>
        </w:rPr>
      </w:pPr>
      <w:r>
        <w:rPr>
          <w:rFonts w:hint="default"/>
          <w:lang w:val="en-US" w:eastAsia="zh-CN"/>
        </w:rPr>
        <w:t>形成风险评估报告，包括风险要素、风险分析和应对措施。</w:t>
      </w:r>
    </w:p>
    <w:p>
      <w:pPr>
        <w:pStyle w:val="a1"/>
        <w:rPr>
          <w:rFonts w:hint="default"/>
          <w:lang w:val="en-US" w:eastAsia="zh-CN"/>
        </w:rPr>
      </w:pPr>
      <w:r>
        <w:rPr>
          <w:rFonts w:hint="default"/>
          <w:lang w:val="en-US" w:eastAsia="zh-CN"/>
        </w:rPr>
        <w:t>制定风险控制策略，包括风险规避、转移、降低和接受。</w:t>
      </w:r>
    </w:p>
    <w:p>
      <w:pPr>
        <w:pStyle w:val="a1"/>
        <w:rPr>
          <w:rFonts w:hint="default"/>
          <w:lang w:val="en-US" w:eastAsia="zh-CN"/>
        </w:rPr>
      </w:pPr>
      <w:r>
        <w:rPr>
          <w:rFonts w:hint="default"/>
          <w:lang w:val="en-US" w:eastAsia="zh-CN"/>
        </w:rPr>
        <w:t>根据风险评估结果形成改进方案并实施。</w:t>
      </w:r>
    </w:p>
    <w:p>
      <w:pPr>
        <w:pStyle w:val="3"/>
        <w:bidi w:val="0"/>
        <w:rPr>
          <w:rFonts w:hint="default"/>
          <w:lang w:val="en-US" w:eastAsia="zh-CN"/>
        </w:rPr>
      </w:pPr>
      <w:bookmarkStart w:id="22" w:name="_Toc17028"/>
      <w:r>
        <w:rPr>
          <w:rFonts w:hint="default"/>
          <w:lang w:val="en-US" w:eastAsia="zh-CN"/>
        </w:rPr>
        <w:t>应急事件级别划分</w:t>
      </w:r>
      <w:bookmarkEnd w:id="22"/>
    </w:p>
    <w:p>
      <w:pPr>
        <w:pStyle w:val="a1"/>
        <w:rPr>
          <w:rFonts w:hint="default"/>
          <w:lang w:val="en-US" w:eastAsia="zh-CN"/>
        </w:rPr>
      </w:pPr>
      <w:r>
        <w:rPr>
          <w:rFonts w:hint="default"/>
          <w:lang w:val="en-US" w:eastAsia="zh-CN"/>
        </w:rPr>
        <w:t>根据信息系统的重要程度、服务时段和受损程度，建立三级应急事件分级体系：</w:t>
      </w:r>
    </w:p>
    <w:p>
      <w:pPr>
        <w:pStyle w:val="a1"/>
        <w:rPr>
          <w:rFonts w:hint="default"/>
          <w:lang w:val="en-US" w:eastAsia="zh-CN"/>
        </w:rPr>
      </w:pPr>
      <w:r>
        <w:rPr>
          <w:rFonts w:hint="default"/>
          <w:lang w:val="en-US" w:eastAsia="zh-CN"/>
        </w:rPr>
        <w:t>一级事件（24-36分）：立即响应，2小时内处置。</w:t>
      </w:r>
    </w:p>
    <w:p>
      <w:pPr>
        <w:pStyle w:val="a1"/>
        <w:rPr>
          <w:rFonts w:hint="default"/>
          <w:lang w:val="en-US" w:eastAsia="zh-CN"/>
        </w:rPr>
      </w:pPr>
      <w:r>
        <w:rPr>
          <w:rFonts w:hint="default"/>
          <w:lang w:val="en-US" w:eastAsia="zh-CN"/>
        </w:rPr>
        <w:t>二级事件（8-18分）：快速响应，4小时内处置。</w:t>
      </w:r>
    </w:p>
    <w:p>
      <w:pPr>
        <w:pStyle w:val="a1"/>
        <w:rPr>
          <w:rFonts w:hint="default"/>
          <w:lang w:val="en-US" w:eastAsia="zh-CN"/>
        </w:rPr>
      </w:pPr>
      <w:r>
        <w:rPr>
          <w:rFonts w:hint="default"/>
          <w:lang w:val="en-US" w:eastAsia="zh-CN"/>
        </w:rPr>
        <w:t>三级事件（1-6分）：标准响应，8小时内处置。</w:t>
      </w:r>
    </w:p>
    <w:p>
      <w:pPr>
        <w:pStyle w:val="3"/>
        <w:bidi w:val="0"/>
        <w:rPr>
          <w:rFonts w:hint="default"/>
          <w:lang w:val="en-US" w:eastAsia="zh-CN"/>
        </w:rPr>
      </w:pPr>
      <w:bookmarkStart w:id="23" w:name="_Toc23061"/>
      <w:r>
        <w:rPr>
          <w:rFonts w:hint="default"/>
          <w:lang w:val="en-US" w:eastAsia="zh-CN"/>
        </w:rPr>
        <w:t>应急响应预案管理</w:t>
      </w:r>
      <w:bookmarkEnd w:id="23"/>
    </w:p>
    <w:p>
      <w:pPr>
        <w:pStyle w:val="a1"/>
        <w:rPr>
          <w:rFonts w:hint="default"/>
          <w:lang w:val="en-US" w:eastAsia="zh-CN"/>
        </w:rPr>
      </w:pPr>
      <w:r>
        <w:rPr>
          <w:rFonts w:hint="default"/>
          <w:lang w:val="en-US" w:eastAsia="zh-CN"/>
        </w:rPr>
        <w:t>制定总体预案和专项预案，为系统恢复操作提供明确指导。</w:t>
      </w:r>
    </w:p>
    <w:p>
      <w:pPr>
        <w:pStyle w:val="a1"/>
        <w:rPr>
          <w:rFonts w:hint="default"/>
          <w:lang w:val="en-US" w:eastAsia="zh-CN"/>
        </w:rPr>
      </w:pPr>
      <w:r>
        <w:rPr>
          <w:rFonts w:hint="default"/>
          <w:lang w:val="en-US" w:eastAsia="zh-CN"/>
        </w:rPr>
        <w:t>预案内容包括组织体系、监测预警、处置流程、保障措施等。</w:t>
      </w:r>
    </w:p>
    <w:p>
      <w:pPr>
        <w:pStyle w:val="a1"/>
        <w:rPr>
          <w:rFonts w:hint="default"/>
          <w:lang w:val="en-US" w:eastAsia="zh-CN"/>
        </w:rPr>
      </w:pPr>
      <w:r>
        <w:rPr>
          <w:rFonts w:hint="default"/>
          <w:lang w:val="en-US" w:eastAsia="zh-CN"/>
        </w:rPr>
        <w:t>定期组织应急响应培训，每年至少一次。</w:t>
      </w:r>
    </w:p>
    <w:p>
      <w:pPr>
        <w:pStyle w:val="a1"/>
        <w:rPr>
          <w:rFonts w:hint="default"/>
          <w:lang w:val="en-US" w:eastAsia="zh-CN"/>
        </w:rPr>
      </w:pPr>
      <w:r>
        <w:rPr>
          <w:rFonts w:hint="default"/>
          <w:lang w:val="en-US" w:eastAsia="zh-CN"/>
        </w:rPr>
        <w:t>定期开展应急演练，每年至少一次，检验预案有效性。</w:t>
      </w:r>
    </w:p>
    <w:p>
      <w:pPr>
        <w:pStyle w:val="2"/>
        <w:bidi w:val="0"/>
        <w:rPr>
          <w:rFonts w:hint="default"/>
          <w:lang w:val="en-US" w:eastAsia="zh-CN"/>
        </w:rPr>
      </w:pPr>
      <w:bookmarkStart w:id="24" w:name="_Toc15832"/>
      <w:r>
        <w:rPr>
          <w:rFonts w:hint="default"/>
          <w:lang w:val="en-US" w:eastAsia="zh-CN"/>
        </w:rPr>
        <w:t>监测与预警</w:t>
      </w:r>
      <w:bookmarkEnd w:id="24"/>
    </w:p>
    <w:p>
      <w:pPr>
        <w:pStyle w:val="3"/>
        <w:bidi w:val="0"/>
        <w:rPr>
          <w:rFonts w:hint="default"/>
          <w:lang w:val="en-US" w:eastAsia="zh-CN"/>
        </w:rPr>
      </w:pPr>
      <w:bookmarkStart w:id="25" w:name="_Toc30110"/>
      <w:r>
        <w:rPr>
          <w:rFonts w:hint="default"/>
          <w:lang w:val="en-US" w:eastAsia="zh-CN"/>
        </w:rPr>
        <w:t>日常监测</w:t>
      </w:r>
      <w:bookmarkEnd w:id="25"/>
    </w:p>
    <w:p>
      <w:pPr>
        <w:pStyle w:val="a1"/>
        <w:rPr>
          <w:rFonts w:hint="default"/>
          <w:lang w:val="en-US" w:eastAsia="zh-CN"/>
        </w:rPr>
      </w:pPr>
      <w:r>
        <w:rPr>
          <w:rFonts w:hint="default"/>
          <w:lang w:val="en-US" w:eastAsia="zh-CN"/>
        </w:rPr>
        <w:t>对运维服务对象的运行情况进行持续监测。</w:t>
      </w:r>
    </w:p>
    <w:p>
      <w:pPr>
        <w:pStyle w:val="a1"/>
        <w:rPr>
          <w:rFonts w:hint="default"/>
          <w:lang w:val="en-US" w:eastAsia="zh-CN"/>
        </w:rPr>
      </w:pPr>
      <w:r>
        <w:rPr>
          <w:rFonts w:hint="default"/>
          <w:lang w:val="en-US" w:eastAsia="zh-CN"/>
        </w:rPr>
        <w:t>监测范围包括应用系统、网络设备、安全设备、主机存储等。</w:t>
      </w:r>
    </w:p>
    <w:p>
      <w:pPr>
        <w:pStyle w:val="a1"/>
        <w:rPr>
          <w:rFonts w:hint="default"/>
          <w:lang w:val="en-US" w:eastAsia="zh-CN"/>
        </w:rPr>
      </w:pPr>
      <w:r>
        <w:rPr>
          <w:rFonts w:hint="default"/>
          <w:lang w:val="en-US" w:eastAsia="zh-CN"/>
        </w:rPr>
        <w:t>建立监测、预警的记录和报告制度。</w:t>
      </w:r>
    </w:p>
    <w:p>
      <w:pPr>
        <w:pStyle w:val="a1"/>
        <w:rPr>
          <w:rFonts w:hint="default"/>
          <w:lang w:val="en-US" w:eastAsia="zh-CN"/>
        </w:rPr>
      </w:pPr>
      <w:r>
        <w:rPr>
          <w:rFonts w:hint="default"/>
          <w:lang w:val="en-US" w:eastAsia="zh-CN"/>
        </w:rPr>
        <w:t>发现应急事件时立即报告，并开展先期处置。</w:t>
      </w:r>
    </w:p>
    <w:p>
      <w:pPr>
        <w:pStyle w:val="3"/>
        <w:bidi w:val="0"/>
        <w:rPr>
          <w:rFonts w:hint="default"/>
          <w:lang w:val="en-US" w:eastAsia="zh-CN"/>
        </w:rPr>
      </w:pPr>
      <w:bookmarkStart w:id="26" w:name="_Toc15824"/>
      <w:r>
        <w:rPr>
          <w:rFonts w:hint="default"/>
          <w:lang w:val="en-US" w:eastAsia="zh-CN"/>
        </w:rPr>
        <w:t>核实与评估</w:t>
      </w:r>
      <w:bookmarkEnd w:id="26"/>
    </w:p>
    <w:p>
      <w:pPr>
        <w:pStyle w:val="a1"/>
        <w:rPr>
          <w:rFonts w:hint="default"/>
          <w:lang w:val="en-US" w:eastAsia="zh-CN"/>
        </w:rPr>
      </w:pPr>
      <w:r>
        <w:rPr>
          <w:rFonts w:hint="eastAsia"/>
          <w:lang w:val="en-US" w:eastAsia="zh-CN"/>
        </w:rPr>
        <w:t>运维工程师</w:t>
      </w:r>
      <w:r>
        <w:rPr>
          <w:rFonts w:hint="default"/>
          <w:lang w:val="en-US" w:eastAsia="zh-CN"/>
        </w:rPr>
        <w:t>对报告内容进行逐项核实。</w:t>
      </w:r>
    </w:p>
    <w:p>
      <w:pPr>
        <w:pStyle w:val="a1"/>
        <w:rPr>
          <w:rFonts w:hint="default"/>
          <w:lang w:val="en-US" w:eastAsia="zh-CN"/>
        </w:rPr>
      </w:pPr>
      <w:r>
        <w:rPr>
          <w:rFonts w:hint="default"/>
          <w:lang w:val="en-US" w:eastAsia="zh-CN"/>
        </w:rPr>
        <w:t>根据事件级别定义初步确定应急事件级别。</w:t>
      </w:r>
    </w:p>
    <w:p>
      <w:pPr>
        <w:pStyle w:val="a1"/>
        <w:rPr>
          <w:rFonts w:hint="default"/>
          <w:lang w:val="en-US" w:eastAsia="zh-CN"/>
        </w:rPr>
      </w:pPr>
      <w:r>
        <w:rPr>
          <w:rFonts w:hint="default"/>
          <w:lang w:val="en-US" w:eastAsia="zh-CN"/>
        </w:rPr>
        <w:t>将事件级别置于动态调整控制中。</w:t>
      </w:r>
    </w:p>
    <w:p>
      <w:pPr>
        <w:pStyle w:val="a1"/>
        <w:rPr>
          <w:rFonts w:hint="default"/>
          <w:lang w:val="en-US" w:eastAsia="zh-CN"/>
        </w:rPr>
      </w:pPr>
      <w:r>
        <w:rPr>
          <w:rFonts w:hint="default"/>
          <w:lang w:val="en-US" w:eastAsia="zh-CN"/>
        </w:rPr>
        <w:t>重点时段保障需求作为事件级别评估的输入。</w:t>
      </w:r>
    </w:p>
    <w:p>
      <w:pPr>
        <w:pStyle w:val="2"/>
        <w:bidi w:val="0"/>
        <w:rPr>
          <w:rFonts w:hint="default"/>
          <w:lang w:val="en-US" w:eastAsia="zh-CN"/>
        </w:rPr>
      </w:pPr>
      <w:bookmarkStart w:id="27" w:name="_Toc3228"/>
      <w:r>
        <w:rPr>
          <w:rFonts w:hint="default"/>
          <w:lang w:val="en-US" w:eastAsia="zh-CN"/>
        </w:rPr>
        <w:t>应急处置</w:t>
      </w:r>
      <w:bookmarkEnd w:id="27"/>
    </w:p>
    <w:p>
      <w:pPr>
        <w:pStyle w:val="3"/>
        <w:bidi w:val="0"/>
        <w:rPr>
          <w:rFonts w:hint="default"/>
          <w:lang w:val="en-US" w:eastAsia="zh-CN"/>
        </w:rPr>
      </w:pPr>
      <w:bookmarkStart w:id="28" w:name="_Toc2115"/>
      <w:r>
        <w:rPr>
          <w:rFonts w:hint="default"/>
          <w:lang w:val="en-US" w:eastAsia="zh-CN"/>
        </w:rPr>
        <w:t>应急响应启动</w:t>
      </w:r>
      <w:bookmarkEnd w:id="28"/>
    </w:p>
    <w:p>
      <w:pPr>
        <w:pStyle w:val="a1"/>
        <w:rPr>
          <w:rFonts w:hint="default"/>
          <w:lang w:val="en-US" w:eastAsia="zh-CN"/>
        </w:rPr>
      </w:pPr>
      <w:r>
        <w:rPr>
          <w:rFonts w:hint="default"/>
          <w:lang w:val="en-US" w:eastAsia="zh-CN"/>
        </w:rPr>
        <w:t>建立应急响应预案启动的策略和程序。</w:t>
      </w:r>
    </w:p>
    <w:p>
      <w:pPr>
        <w:pStyle w:val="a1"/>
        <w:rPr>
          <w:rFonts w:hint="default"/>
          <w:lang w:val="en-US" w:eastAsia="zh-CN"/>
        </w:rPr>
      </w:pPr>
      <w:r>
        <w:rPr>
          <w:rFonts w:hint="default"/>
          <w:lang w:val="en-US" w:eastAsia="zh-CN"/>
        </w:rPr>
        <w:t>由应急响应责任者或现场负责人启动预案。</w:t>
      </w:r>
    </w:p>
    <w:p>
      <w:pPr>
        <w:pStyle w:val="a1"/>
        <w:rPr>
          <w:rFonts w:hint="default"/>
          <w:lang w:val="en-US" w:eastAsia="zh-CN"/>
        </w:rPr>
      </w:pPr>
      <w:r>
        <w:rPr>
          <w:rFonts w:hint="default"/>
          <w:lang w:val="en-US" w:eastAsia="zh-CN"/>
        </w:rPr>
        <w:t>向相关利益方通报预案启动信息。</w:t>
      </w:r>
    </w:p>
    <w:p>
      <w:pPr>
        <w:pStyle w:val="a1"/>
        <w:rPr>
          <w:rFonts w:hint="default"/>
          <w:lang w:val="en-US" w:eastAsia="zh-CN"/>
        </w:rPr>
      </w:pPr>
      <w:r>
        <w:rPr>
          <w:rFonts w:hint="default"/>
          <w:lang w:val="en-US" w:eastAsia="zh-CN"/>
        </w:rPr>
        <w:t>调整监测与预警状态，通知各相关利益方。</w:t>
      </w:r>
    </w:p>
    <w:p>
      <w:pPr>
        <w:pStyle w:val="3"/>
        <w:bidi w:val="0"/>
        <w:rPr>
          <w:rFonts w:hint="default"/>
          <w:lang w:val="en-US" w:eastAsia="zh-CN"/>
        </w:rPr>
      </w:pPr>
      <w:bookmarkStart w:id="29" w:name="_Toc670"/>
      <w:r>
        <w:rPr>
          <w:rFonts w:hint="default"/>
          <w:lang w:val="en-US" w:eastAsia="zh-CN"/>
        </w:rPr>
        <w:t>应急调度与处置</w:t>
      </w:r>
      <w:bookmarkEnd w:id="29"/>
    </w:p>
    <w:p>
      <w:pPr>
        <w:pStyle w:val="a1"/>
        <w:rPr>
          <w:rFonts w:hint="default"/>
          <w:lang w:val="en-US" w:eastAsia="zh-CN"/>
        </w:rPr>
      </w:pPr>
      <w:r>
        <w:rPr>
          <w:rFonts w:hint="default"/>
          <w:lang w:val="en-US" w:eastAsia="zh-CN"/>
        </w:rPr>
        <w:t>按照预案开展统一的应急调度。</w:t>
      </w:r>
    </w:p>
    <w:p>
      <w:pPr>
        <w:pStyle w:val="a1"/>
        <w:rPr>
          <w:rFonts w:hint="default"/>
          <w:lang w:val="en-US" w:eastAsia="zh-CN"/>
        </w:rPr>
      </w:pPr>
      <w:r>
        <w:rPr>
          <w:rFonts w:hint="default"/>
          <w:lang w:val="en-US" w:eastAsia="zh-CN"/>
        </w:rPr>
        <w:t>组织人员进行现场故障排查和诊断。</w:t>
      </w:r>
    </w:p>
    <w:p>
      <w:pPr>
        <w:pStyle w:val="a1"/>
        <w:rPr>
          <w:rFonts w:hint="default"/>
          <w:lang w:val="en-US" w:eastAsia="zh-CN"/>
        </w:rPr>
      </w:pPr>
      <w:r>
        <w:rPr>
          <w:rFonts w:hint="default"/>
          <w:lang w:val="en-US" w:eastAsia="zh-CN"/>
        </w:rPr>
        <w:t>基于预案、配置管理数据库和知识库进行处理与恢复。</w:t>
      </w:r>
    </w:p>
    <w:p>
      <w:pPr>
        <w:pStyle w:val="a1"/>
        <w:rPr>
          <w:rFonts w:hint="default"/>
          <w:lang w:val="en-US" w:eastAsia="zh-CN"/>
        </w:rPr>
      </w:pPr>
      <w:r>
        <w:rPr>
          <w:rFonts w:hint="default"/>
          <w:lang w:val="en-US" w:eastAsia="zh-CN"/>
        </w:rPr>
        <w:t>在满足处置时间要求的前提下尽快恢复服务。</w:t>
      </w:r>
    </w:p>
    <w:p>
      <w:pPr>
        <w:pStyle w:val="3"/>
        <w:bidi w:val="0"/>
        <w:rPr>
          <w:rFonts w:hint="default"/>
          <w:lang w:val="en-US" w:eastAsia="zh-CN"/>
        </w:rPr>
      </w:pPr>
      <w:bookmarkStart w:id="30" w:name="_Toc6987"/>
      <w:r>
        <w:rPr>
          <w:rFonts w:hint="default"/>
          <w:lang w:val="en-US" w:eastAsia="zh-CN"/>
        </w:rPr>
        <w:t>事件升级管理</w:t>
      </w:r>
      <w:bookmarkEnd w:id="30"/>
    </w:p>
    <w:p>
      <w:pPr>
        <w:pStyle w:val="a1"/>
        <w:rPr>
          <w:rFonts w:hint="default"/>
          <w:lang w:val="en-US" w:eastAsia="zh-CN"/>
        </w:rPr>
      </w:pPr>
      <w:r>
        <w:rPr>
          <w:rFonts w:hint="default"/>
          <w:lang w:val="en-US" w:eastAsia="zh-CN"/>
        </w:rPr>
        <w:t>建立应急事件升级的策略和程序。</w:t>
      </w:r>
    </w:p>
    <w:p>
      <w:pPr>
        <w:pStyle w:val="a1"/>
        <w:rPr>
          <w:rFonts w:hint="default"/>
          <w:lang w:val="en-US" w:eastAsia="zh-CN"/>
        </w:rPr>
      </w:pPr>
      <w:r>
        <w:rPr>
          <w:rFonts w:hint="default"/>
          <w:lang w:val="en-US" w:eastAsia="zh-CN"/>
        </w:rPr>
        <w:t>当处置时间超过要求时启动事件升级。</w:t>
      </w:r>
    </w:p>
    <w:p>
      <w:pPr>
        <w:pStyle w:val="a1"/>
        <w:rPr>
          <w:rFonts w:hint="default"/>
          <w:lang w:val="en-US" w:eastAsia="zh-CN"/>
        </w:rPr>
      </w:pPr>
      <w:r>
        <w:rPr>
          <w:rFonts w:hint="default"/>
          <w:lang w:val="en-US" w:eastAsia="zh-CN"/>
        </w:rPr>
        <w:t>对升级可能造成的影响进行评估。</w:t>
      </w:r>
    </w:p>
    <w:p>
      <w:pPr>
        <w:pStyle w:val="a1"/>
        <w:rPr>
          <w:rFonts w:hint="default"/>
          <w:lang w:val="en-US" w:eastAsia="zh-CN"/>
        </w:rPr>
      </w:pPr>
      <w:r>
        <w:rPr>
          <w:rFonts w:hint="default"/>
          <w:lang w:val="en-US" w:eastAsia="zh-CN"/>
        </w:rPr>
        <w:t>及时向相关利益方通报事件升级信息。</w:t>
      </w:r>
    </w:p>
    <w:p>
      <w:pPr>
        <w:pStyle w:val="3"/>
        <w:bidi w:val="0"/>
        <w:rPr>
          <w:rFonts w:hint="default"/>
          <w:lang w:val="en-US" w:eastAsia="zh-CN"/>
        </w:rPr>
      </w:pPr>
      <w:bookmarkStart w:id="31" w:name="_Toc2806"/>
      <w:r>
        <w:rPr>
          <w:rFonts w:hint="default"/>
          <w:lang w:val="en-US" w:eastAsia="zh-CN"/>
        </w:rPr>
        <w:t>事件关闭</w:t>
      </w:r>
      <w:bookmarkEnd w:id="31"/>
    </w:p>
    <w:p>
      <w:pPr>
        <w:pStyle w:val="a1"/>
        <w:rPr>
          <w:rFonts w:hint="default"/>
          <w:lang w:val="en-US" w:eastAsia="zh-CN"/>
        </w:rPr>
      </w:pPr>
      <w:r>
        <w:rPr>
          <w:rFonts w:hint="default"/>
          <w:lang w:val="en-US" w:eastAsia="zh-CN"/>
        </w:rPr>
        <w:t>建立事件关闭的策略和程序。</w:t>
      </w:r>
    </w:p>
    <w:p>
      <w:pPr>
        <w:pStyle w:val="a1"/>
        <w:rPr>
          <w:rFonts w:hint="default"/>
          <w:lang w:val="en-US" w:eastAsia="zh-CN"/>
        </w:rPr>
      </w:pPr>
      <w:r>
        <w:rPr>
          <w:rFonts w:hint="default"/>
          <w:lang w:val="en-US" w:eastAsia="zh-CN"/>
        </w:rPr>
        <w:t>整理应急事件处置的过程文档。</w:t>
      </w:r>
    </w:p>
    <w:p>
      <w:pPr>
        <w:pStyle w:val="a1"/>
        <w:rPr>
          <w:rFonts w:hint="default"/>
          <w:lang w:val="en-US" w:eastAsia="zh-CN"/>
        </w:rPr>
      </w:pPr>
      <w:r>
        <w:rPr>
          <w:rFonts w:hint="default"/>
          <w:lang w:val="en-US" w:eastAsia="zh-CN"/>
        </w:rPr>
        <w:t>核实事件处置过程和结果信息。</w:t>
      </w:r>
    </w:p>
    <w:p>
      <w:pPr>
        <w:pStyle w:val="a1"/>
        <w:rPr>
          <w:rFonts w:hint="default"/>
          <w:lang w:val="en-US" w:eastAsia="zh-CN"/>
        </w:rPr>
      </w:pPr>
      <w:r>
        <w:rPr>
          <w:rFonts w:hint="default"/>
          <w:lang w:val="en-US" w:eastAsia="zh-CN"/>
        </w:rPr>
        <w:t>向相关利益方通报事件关闭信息。</w:t>
      </w:r>
    </w:p>
    <w:p>
      <w:pPr>
        <w:pStyle w:val="2"/>
        <w:bidi w:val="0"/>
        <w:rPr>
          <w:rFonts w:hint="default"/>
          <w:lang w:val="en-US" w:eastAsia="zh-CN"/>
        </w:rPr>
      </w:pPr>
      <w:bookmarkStart w:id="32" w:name="_Toc23568"/>
      <w:r>
        <w:rPr>
          <w:rFonts w:hint="default"/>
          <w:lang w:val="en-US" w:eastAsia="zh-CN"/>
        </w:rPr>
        <w:t>总结改进</w:t>
      </w:r>
      <w:bookmarkEnd w:id="32"/>
    </w:p>
    <w:p>
      <w:pPr>
        <w:pStyle w:val="3"/>
        <w:bidi w:val="0"/>
        <w:rPr>
          <w:rFonts w:hint="default"/>
          <w:lang w:val="en-US" w:eastAsia="zh-CN"/>
        </w:rPr>
      </w:pPr>
      <w:bookmarkStart w:id="33" w:name="_Toc24801"/>
      <w:r>
        <w:rPr>
          <w:rFonts w:hint="default"/>
          <w:lang w:val="en-US" w:eastAsia="zh-CN"/>
        </w:rPr>
        <w:t>应急工作总结</w:t>
      </w:r>
      <w:bookmarkEnd w:id="33"/>
    </w:p>
    <w:p>
      <w:pPr>
        <w:pStyle w:val="a1"/>
        <w:rPr>
          <w:rFonts w:hint="default"/>
          <w:lang w:val="en-US" w:eastAsia="zh-CN"/>
        </w:rPr>
      </w:pPr>
      <w:r>
        <w:rPr>
          <w:rFonts w:hint="default"/>
          <w:lang w:val="en-US" w:eastAsia="zh-CN"/>
        </w:rPr>
        <w:t>定期对应急响应工作进行分析和回顾。</w:t>
      </w:r>
    </w:p>
    <w:p>
      <w:pPr>
        <w:pStyle w:val="a1"/>
        <w:rPr>
          <w:rFonts w:hint="default"/>
          <w:lang w:val="en-US" w:eastAsia="zh-CN"/>
        </w:rPr>
      </w:pPr>
      <w:r>
        <w:rPr>
          <w:rFonts w:hint="default"/>
          <w:lang w:val="en-US" w:eastAsia="zh-CN"/>
        </w:rPr>
        <w:t>总结经验教训，采取适当的后续措施。</w:t>
      </w:r>
    </w:p>
    <w:p>
      <w:pPr>
        <w:pStyle w:val="a1"/>
        <w:rPr>
          <w:rFonts w:hint="default"/>
          <w:lang w:val="en-US" w:eastAsia="zh-CN"/>
        </w:rPr>
      </w:pPr>
      <w:r>
        <w:rPr>
          <w:rFonts w:hint="default"/>
          <w:lang w:val="en-US" w:eastAsia="zh-CN"/>
        </w:rPr>
        <w:t>形成总结报告，作为改进工作的重要依据。</w:t>
      </w:r>
    </w:p>
    <w:p>
      <w:pPr>
        <w:pStyle w:val="a1"/>
        <w:rPr>
          <w:rFonts w:hint="default"/>
          <w:lang w:val="en-US" w:eastAsia="zh-CN"/>
        </w:rPr>
      </w:pPr>
      <w:r>
        <w:rPr>
          <w:rFonts w:hint="default"/>
          <w:lang w:val="en-US" w:eastAsia="zh-CN"/>
        </w:rPr>
        <w:t>分析内容包括绩效、准备工作、事件原因和趋势等。</w:t>
      </w:r>
    </w:p>
    <w:p>
      <w:pPr>
        <w:pStyle w:val="3"/>
        <w:bidi w:val="0"/>
        <w:rPr>
          <w:rFonts w:hint="default"/>
          <w:lang w:val="en-US" w:eastAsia="zh-CN"/>
        </w:rPr>
      </w:pPr>
      <w:bookmarkStart w:id="34" w:name="_Toc8389"/>
      <w:r>
        <w:rPr>
          <w:rFonts w:hint="default"/>
          <w:lang w:val="en-US" w:eastAsia="zh-CN"/>
        </w:rPr>
        <w:t>应急工作改进</w:t>
      </w:r>
      <w:bookmarkEnd w:id="34"/>
    </w:p>
    <w:p>
      <w:pPr>
        <w:pStyle w:val="a1"/>
        <w:rPr>
          <w:rFonts w:hint="default"/>
          <w:lang w:val="en-US" w:eastAsia="zh-CN"/>
        </w:rPr>
      </w:pPr>
      <w:r>
        <w:rPr>
          <w:rFonts w:hint="default"/>
          <w:lang w:val="en-US" w:eastAsia="zh-CN"/>
        </w:rPr>
        <w:t>应急响应责任者定期组织评审工作。</w:t>
      </w:r>
    </w:p>
    <w:p>
      <w:pPr>
        <w:pStyle w:val="a1"/>
        <w:rPr>
          <w:rFonts w:hint="default"/>
          <w:lang w:val="en-US" w:eastAsia="zh-CN"/>
        </w:rPr>
      </w:pPr>
      <w:r>
        <w:rPr>
          <w:rFonts w:hint="default"/>
          <w:lang w:val="en-US" w:eastAsia="zh-CN"/>
        </w:rPr>
        <w:t>审核结果正式存档并通知相关利益方。</w:t>
      </w:r>
    </w:p>
    <w:p>
      <w:pPr>
        <w:pStyle w:val="a1"/>
        <w:rPr>
          <w:rFonts w:hint="default"/>
          <w:lang w:val="en-US" w:eastAsia="zh-CN"/>
        </w:rPr>
      </w:pPr>
      <w:r>
        <w:rPr>
          <w:rFonts w:hint="default"/>
          <w:lang w:val="en-US" w:eastAsia="zh-CN"/>
        </w:rPr>
        <w:t>根据总结报告和评审结果完善信息系统。</w:t>
      </w:r>
    </w:p>
    <w:p>
      <w:pPr>
        <w:pStyle w:val="a1"/>
        <w:rPr>
          <w:rFonts w:hint="default"/>
          <w:lang w:val="en-US" w:eastAsia="zh-CN"/>
        </w:rPr>
      </w:pPr>
      <w:r>
        <w:rPr>
          <w:rFonts w:hint="default"/>
          <w:lang w:val="en-US" w:eastAsia="zh-CN"/>
        </w:rPr>
        <w:t>深化应急准备工作，持续改进应急响应能力。</w:t>
      </w:r>
    </w:p>
    <w:p>
      <w:pPr>
        <w:pStyle w:val="2"/>
        <w:bidi w:val="0"/>
        <w:rPr>
          <w:rFonts w:hint="default"/>
          <w:lang w:val="en-US" w:eastAsia="zh-CN"/>
        </w:rPr>
      </w:pPr>
      <w:bookmarkStart w:id="35" w:name="_Toc4614"/>
      <w:r>
        <w:rPr>
          <w:rFonts w:hint="eastAsia"/>
          <w:lang w:val="en-US" w:eastAsia="zh-CN"/>
        </w:rPr>
        <w:t>考核指标</w:t>
      </w:r>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为衡量</w:t>
      </w:r>
      <w:r>
        <w:rPr>
          <w:rFonts w:hint="eastAsia"/>
          <w:lang w:val="en-US" w:eastAsia="zh-CN"/>
        </w:rPr>
        <w:t>运维应急</w:t>
      </w:r>
      <w:r>
        <w:rPr>
          <w:rFonts w:hint="default"/>
          <w:lang w:val="en-US" w:eastAsia="zh-CN"/>
        </w:rPr>
        <w:t>成效，设定以下核心考核指标：</w:t>
      </w:r>
      <w:r>
        <w:rPr>
          <w:rFonts w:hint="eastAsia"/>
          <w:lang w:val="en-US" w:eastAsia="zh-CN"/>
        </w:rPr>
        <w:t>如表4-1所示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关键绩效指标表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1478"/>
        <w:gridCol w:w="3998"/>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147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99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47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应急演练次数</w:t>
            </w:r>
          </w:p>
        </w:tc>
        <w:tc>
          <w:tcPr>
            <w:tcW w:w="399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数量，应急演练报告数量</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年度</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≥1次</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6" w:name="bookmark3"/>
      <w:bookmarkEnd w:id="36"/>
      <w:bookmarkStart w:id="37" w:name="_Toc17424"/>
      <w:bookmarkStart w:id="38" w:name="_Toc6057"/>
      <w:r>
        <w:rPr>
          <w:rStyle w:val="1Char"/>
          <w:rFonts w:eastAsia="宋体" w:hint="eastAsia"/>
          <w:lang w:val="en-US" w:eastAsia="zh-CN"/>
        </w:rPr>
        <w:t>附则</w:t>
      </w:r>
      <w:bookmarkEnd w:id="37"/>
      <w:bookmarkEnd w:id="38"/>
    </w:p>
    <w:p>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运维管理部</w:t>
      </w:r>
      <w:r>
        <w:rPr>
          <w:rFonts w:ascii="宋体" w:eastAsia="宋体" w:hAnsi="宋体" w:cs="宋体"/>
          <w:spacing w:val="-1"/>
          <w:sz w:val="24"/>
          <w:szCs w:val="24"/>
        </w:rPr>
        <w:t>。</w:t>
      </w:r>
    </w:p>
    <w:p>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9" w:name="bookmark14"/>
      <w:bookmarkEnd w:id="39"/>
      <w:bookmarkStart w:id="40" w:name="_Toc30199"/>
      <w:r>
        <w:rPr>
          <w:rFonts w:hint="eastAsia"/>
          <w:lang w:val="en-US" w:eastAsia="zh-CN"/>
        </w:rPr>
        <w:t>附件</w:t>
      </w:r>
      <w:bookmarkEnd w:id="40"/>
    </w:p>
    <w:p>
      <w:pPr>
        <w:pStyle w:val="a1"/>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1" w:name="_Toc23318"/>
      <w:r>
        <w:rPr>
          <w:rFonts w:hint="eastAsia"/>
          <w:lang w:val="en-US" w:eastAsia="zh-CN"/>
        </w:rPr>
        <w:t>记录</w:t>
      </w:r>
      <w:bookmarkEnd w:id="4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40DD9DC"/>
    <w:multiLevelType w:val="singleLevel"/>
    <w:tmpl w:val="B40DD9DC"/>
    <w:lvl w:ilvl="0">
      <w:start w:val="1"/>
      <w:numFmt w:val="decimal"/>
      <w:lvlText w:val="%1."/>
      <w:lvlJc w:val="left"/>
      <w:pPr>
        <w:ind w:left="425" w:hanging="425"/>
      </w:pPr>
      <w:rPr>
        <w:rFonts w:hint="default"/>
      </w:rPr>
    </w:lvl>
  </w:abstractNum>
  <w:abstractNum w:abstractNumId="2">
    <w:nsid w:val="C2E0E546"/>
    <w:multiLevelType w:val="singleLevel"/>
    <w:tmpl w:val="C2E0E546"/>
    <w:lvl w:ilvl="0">
      <w:start w:val="1"/>
      <w:numFmt w:val="decimal"/>
      <w:lvlText w:val="%1."/>
      <w:lvlJc w:val="left"/>
      <w:pPr>
        <w:ind w:left="425" w:hanging="425"/>
      </w:pPr>
      <w:rPr>
        <w:rFonts w:hint="default"/>
      </w:rPr>
    </w:lvl>
  </w:abstractNum>
  <w:abstractNum w:abstractNumId="3">
    <w:nsid w:val="D6A87DD1"/>
    <w:multiLevelType w:val="singleLevel"/>
    <w:tmpl w:val="D6A87DD1"/>
    <w:lvl w:ilvl="0">
      <w:start w:val="1"/>
      <w:numFmt w:val="decimal"/>
      <w:lvlText w:val="%1."/>
      <w:lvlJc w:val="left"/>
      <w:pPr>
        <w:ind w:left="425" w:hanging="425"/>
      </w:pPr>
      <w:rPr>
        <w:rFonts w:hint="default"/>
      </w:rPr>
    </w:lvl>
  </w:abstractNum>
  <w:abstractNum w:abstractNumId="4">
    <w:nsid w:val="F9539CF3"/>
    <w:multiLevelType w:val="singleLevel"/>
    <w:tmpl w:val="F9539CF3"/>
    <w:lvl w:ilvl="0">
      <w:start w:val="1"/>
      <w:numFmt w:val="decimal"/>
      <w:lvlText w:val="%1."/>
      <w:lvlJc w:val="left"/>
      <w:pPr>
        <w:ind w:left="425" w:hanging="425"/>
      </w:pPr>
      <w:rPr>
        <w:rFonts w:hint="default"/>
      </w:rPr>
    </w:lvl>
  </w:abstractNum>
  <w:abstractNum w:abstractNumId="5">
    <w:nsid w:val="26388B1C"/>
    <w:multiLevelType w:val="singleLevel"/>
    <w:tmpl w:val="26388B1C"/>
    <w:lvl w:ilvl="0">
      <w:start w:val="1"/>
      <w:numFmt w:val="decimal"/>
      <w:lvlText w:val="%1."/>
      <w:lvlJc w:val="left"/>
      <w:pPr>
        <w:ind w:left="425" w:hanging="425"/>
      </w:pPr>
      <w:rPr>
        <w:rFonts w:hint="default"/>
      </w:rPr>
    </w:lvl>
  </w:abstractNum>
  <w:abstractNum w:abstractNumId="6">
    <w:nsid w:val="461A89BE"/>
    <w:multiLevelType w:val="singleLevel"/>
    <w:tmpl w:val="461A89BE"/>
    <w:lvl w:ilvl="0">
      <w:start w:val="1"/>
      <w:numFmt w:val="decimal"/>
      <w:lvlText w:val="%1."/>
      <w:lvlJc w:val="left"/>
      <w:pPr>
        <w:ind w:left="425" w:hanging="425"/>
      </w:pPr>
      <w:rPr>
        <w:rFonts w:hint="default"/>
      </w:rPr>
    </w:lvl>
  </w:abstractNum>
  <w:abstractNum w:abstractNumId="7">
    <w:nsid w:val="7D3202F4"/>
    <w:multiLevelType w:val="singleLevel"/>
    <w:tmpl w:val="7D3202F4"/>
    <w:lvl w:ilvl="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7"/>
  </w:num>
  <w:num w:numId="5">
    <w:abstractNumId w:val="6"/>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2456</Words>
  <Characters>2707</Characters>
  <Application>Microsoft Office Word</Application>
  <DocSecurity>0</DocSecurity>
  <Lines>0</Lines>
  <Paragraphs>0</Paragraphs>
  <ScaleCrop>false</ScaleCrop>
  <Company/>
  <LinksUpToDate>false</LinksUpToDate>
  <CharactersWithSpaces>2872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2025-12-02T11:18:19Z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