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A041BC">
      <w:pPr>
        <w:pStyle w:val="24"/>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30072"/>
      <w: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8">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北京新都远景网络技术有限公司</w:t>
      </w:r>
      <w:bookmarkEnd w:id="0"/>
    </w:p>
    <w:p w14:paraId="5173E1CF">
      <w:pPr>
        <w:keepNext w:val="0"/>
        <w:keepLines w:val="0"/>
        <w:pageBreakBefore w:val="0"/>
        <w:widowControl w:val="0"/>
        <w:suppressLineNumbers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ascii="黑体" w:hAnsi="黑体" w:eastAsia="黑体" w:cs="黑体"/>
          <w:b/>
          <w:bCs/>
          <w:snapToGrid w:val="0"/>
          <w:color w:val="000000"/>
          <w:spacing w:val="-7"/>
          <w:kern w:val="0"/>
          <w:sz w:val="52"/>
          <w:szCs w:val="52"/>
          <w:lang w:val="en-US" w:eastAsia="zh-CN" w:bidi="ar-SA"/>
        </w:rPr>
      </w:pPr>
      <w:r>
        <w:rPr>
          <w:rFonts w:hint="eastAsia" w:ascii="黑体" w:hAnsi="黑体" w:eastAsia="黑体" w:cs="黑体"/>
          <w:b/>
          <w:bCs/>
          <w:snapToGrid w:val="0"/>
          <w:color w:val="000000"/>
          <w:spacing w:val="-7"/>
          <w:kern w:val="0"/>
          <w:sz w:val="52"/>
          <w:szCs w:val="52"/>
          <w:lang w:val="en-US" w:eastAsia="zh-CN" w:bidi="ar-SA"/>
        </w:rPr>
        <w:t>丰盈云人力资源服务业财一体化管理系统技术服务项目-应急演练大纲</w:t>
      </w:r>
    </w:p>
    <w:p w14:paraId="36EDB26B">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eastAsia" w:ascii="宋体" w:hAnsi="宋体" w:eastAsia="宋体" w:cs="宋体"/>
          <w:sz w:val="24"/>
          <w:szCs w:val="24"/>
          <w:lang w:val="en-US" w:eastAsia="zh-CN"/>
        </w:rPr>
      </w:pP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XDYJ</w:t>
      </w:r>
      <w:r>
        <w:rPr>
          <w:rFonts w:ascii="宋体" w:hAnsi="宋体" w:eastAsia="宋体" w:cs="宋体"/>
          <w:b/>
          <w:bCs/>
          <w:spacing w:val="-3"/>
          <w:sz w:val="24"/>
          <w:szCs w:val="24"/>
        </w:rPr>
        <w:t>-</w:t>
      </w:r>
      <w:r>
        <w:rPr>
          <w:rFonts w:hint="eastAsia" w:ascii="宋体" w:hAnsi="宋体" w:cs="宋体"/>
          <w:b/>
          <w:bCs/>
          <w:spacing w:val="-3"/>
          <w:sz w:val="24"/>
          <w:szCs w:val="24"/>
          <w:lang w:val="en-US" w:eastAsia="zh-CN"/>
        </w:rPr>
        <w:t>10</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2</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57A71B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2BD2AAAC">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运维管理部</w:t>
            </w:r>
          </w:p>
        </w:tc>
        <w:tc>
          <w:tcPr>
            <w:tcW w:w="2708" w:type="dxa"/>
          </w:tcPr>
          <w:p w14:paraId="2270728F">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2025.02.20</w:t>
            </w:r>
          </w:p>
        </w:tc>
      </w:tr>
      <w:tr w14:paraId="2B1AF6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3E7122B0">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14:paraId="647A3B04">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2025.02.20</w:t>
            </w:r>
          </w:p>
        </w:tc>
      </w:tr>
      <w:tr w14:paraId="6A2634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10E26702">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lang w:val="en-US" w:eastAsia="zh-CN"/>
              </w:rPr>
              <w:t>孙玥</w:t>
            </w:r>
          </w:p>
        </w:tc>
        <w:tc>
          <w:tcPr>
            <w:tcW w:w="2708" w:type="dxa"/>
          </w:tcPr>
          <w:p w14:paraId="6778BF81">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2025.02.20</w:t>
            </w:r>
          </w:p>
        </w:tc>
      </w:tr>
    </w:tbl>
    <w:p w14:paraId="5E589ADA">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p w14:paraId="7D412417">
      <w:pPr>
        <w:keepNext w:val="0"/>
        <w:keepLines w:val="0"/>
        <w:pageBreakBefore w:val="0"/>
        <w:widowControl w:val="0"/>
        <w:kinsoku w:val="0"/>
        <w:wordWrap/>
        <w:overflowPunct/>
        <w:topLinePunct w:val="0"/>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7137"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689"/>
        <w:gridCol w:w="919"/>
        <w:gridCol w:w="2289"/>
        <w:gridCol w:w="1240"/>
      </w:tblGrid>
      <w:tr w14:paraId="240312C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2689" w:type="dxa"/>
          </w:tcPr>
          <w:p w14:paraId="696689DB">
            <w:pPr>
              <w:keepNext w:val="0"/>
              <w:keepLines w:val="0"/>
              <w:pageBreakBefore w:val="0"/>
              <w:widowControl w:val="0"/>
              <w:kinsoku w:val="0"/>
              <w:wordWrap/>
              <w:overflowPunct/>
              <w:topLinePunct w:val="0"/>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14"/>
                <w:sz w:val="20"/>
                <w:szCs w:val="20"/>
              </w:rPr>
              <w:t>日期</w:t>
            </w:r>
          </w:p>
        </w:tc>
        <w:tc>
          <w:tcPr>
            <w:tcW w:w="919" w:type="dxa"/>
          </w:tcPr>
          <w:p w14:paraId="4527E0A9">
            <w:pPr>
              <w:keepNext w:val="0"/>
              <w:keepLines w:val="0"/>
              <w:pageBreakBefore w:val="0"/>
              <w:widowControl w:val="0"/>
              <w:kinsoku w:val="0"/>
              <w:wordWrap/>
              <w:overflowPunct/>
              <w:topLinePunct w:val="0"/>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2289" w:type="dxa"/>
          </w:tcPr>
          <w:p w14:paraId="70A1DD46">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240" w:type="dxa"/>
          </w:tcPr>
          <w:p w14:paraId="6596A33A">
            <w:pPr>
              <w:keepNext w:val="0"/>
              <w:keepLines w:val="0"/>
              <w:pageBreakBefore w:val="0"/>
              <w:widowControl w:val="0"/>
              <w:kinsoku w:val="0"/>
              <w:wordWrap/>
              <w:overflowPunct/>
              <w:topLinePunct w:val="0"/>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5636D9C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2689" w:type="dxa"/>
          </w:tcPr>
          <w:p w14:paraId="61995BC5">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eastAsia="zh-CN"/>
              </w:rPr>
            </w:pPr>
            <w:r>
              <w:rPr>
                <w:rFonts w:ascii="宋体" w:hAnsi="宋体" w:eastAsia="宋体" w:cs="宋体"/>
                <w:spacing w:val="3"/>
                <w:position w:val="1"/>
                <w:sz w:val="20"/>
                <w:szCs w:val="20"/>
              </w:rPr>
              <w:t>2025.0</w:t>
            </w:r>
            <w:r>
              <w:rPr>
                <w:rFonts w:hint="eastAsia" w:ascii="宋体" w:hAnsi="宋体" w:cs="宋体"/>
                <w:spacing w:val="3"/>
                <w:position w:val="1"/>
                <w:sz w:val="20"/>
                <w:szCs w:val="20"/>
                <w:lang w:val="en-US" w:eastAsia="zh-CN"/>
              </w:rPr>
              <w:t>2</w:t>
            </w:r>
            <w:r>
              <w:rPr>
                <w:rFonts w:ascii="宋体" w:hAnsi="宋体" w:eastAsia="宋体" w:cs="宋体"/>
                <w:spacing w:val="3"/>
                <w:position w:val="1"/>
                <w:sz w:val="20"/>
                <w:szCs w:val="20"/>
              </w:rPr>
              <w:t>.</w:t>
            </w:r>
            <w:r>
              <w:rPr>
                <w:rFonts w:hint="eastAsia" w:ascii="宋体" w:hAnsi="宋体" w:cs="宋体"/>
                <w:spacing w:val="3"/>
                <w:position w:val="1"/>
                <w:sz w:val="20"/>
                <w:szCs w:val="20"/>
                <w:lang w:val="en-US" w:eastAsia="zh-CN"/>
              </w:rPr>
              <w:t>20</w:t>
            </w:r>
          </w:p>
        </w:tc>
        <w:tc>
          <w:tcPr>
            <w:tcW w:w="919" w:type="dxa"/>
          </w:tcPr>
          <w:p w14:paraId="1104F85C">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2289" w:type="dxa"/>
          </w:tcPr>
          <w:p w14:paraId="65F66EC6">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新建</w:t>
            </w:r>
          </w:p>
        </w:tc>
        <w:tc>
          <w:tcPr>
            <w:tcW w:w="1240" w:type="dxa"/>
          </w:tcPr>
          <w:p w14:paraId="320A26AE">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lang w:val="en-US" w:eastAsia="zh-CN"/>
              </w:rPr>
              <w:t>孙玥</w:t>
            </w:r>
          </w:p>
        </w:tc>
      </w:tr>
      <w:tr w14:paraId="2090887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2689" w:type="dxa"/>
          </w:tcPr>
          <w:p w14:paraId="12397200">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9" w:type="dxa"/>
          </w:tcPr>
          <w:p w14:paraId="5BFB825D">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2289" w:type="dxa"/>
          </w:tcPr>
          <w:p w14:paraId="51F845A4">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240" w:type="dxa"/>
          </w:tcPr>
          <w:p w14:paraId="1F24E86A">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r w14:paraId="50D6430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2689" w:type="dxa"/>
          </w:tcPr>
          <w:p w14:paraId="667D847D">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9" w:type="dxa"/>
          </w:tcPr>
          <w:p w14:paraId="4DE51777">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2289" w:type="dxa"/>
          </w:tcPr>
          <w:p w14:paraId="62EEFD4D">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240" w:type="dxa"/>
          </w:tcPr>
          <w:p w14:paraId="5F107867">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r w14:paraId="14C5B3F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2689" w:type="dxa"/>
          </w:tcPr>
          <w:p w14:paraId="039A55EA">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9" w:type="dxa"/>
          </w:tcPr>
          <w:p w14:paraId="335458F9">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2289" w:type="dxa"/>
          </w:tcPr>
          <w:p w14:paraId="121FB8D4">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240" w:type="dxa"/>
          </w:tcPr>
          <w:p w14:paraId="5E3ED078">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bl>
    <w:p w14:paraId="29B60ACB">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2B70BAA3">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4C972025">
          <w:pPr>
            <w:pStyle w:val="16"/>
            <w:tabs>
              <w:tab w:val="right" w:leader="dot" w:pos="8306"/>
            </w:tabs>
          </w:pPr>
          <w:bookmarkStart w:id="8" w:name="_GoBack"/>
          <w:bookmarkEnd w:id="8"/>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_Toc30072 </w:instrText>
          </w:r>
          <w:r>
            <w:rPr>
              <w:rFonts w:hint="eastAsia" w:ascii="宋体" w:hAnsi="宋体" w:eastAsia="宋体" w:cs="宋体"/>
              <w:szCs w:val="24"/>
            </w:rPr>
            <w:fldChar w:fldCharType="separate"/>
          </w:r>
          <w:r>
            <w:rPr>
              <w:rFonts w:hint="eastAsia"/>
              <w:lang w:val="en-US" w:eastAsia="zh-CN"/>
            </w:rPr>
            <w:t>北京新都远景网络技术有限公司</w:t>
          </w:r>
          <w:r>
            <w:tab/>
          </w:r>
          <w:r>
            <w:fldChar w:fldCharType="begin"/>
          </w:r>
          <w:r>
            <w:instrText xml:space="preserve"> PAGEREF _Toc30072 \h </w:instrText>
          </w:r>
          <w:r>
            <w:fldChar w:fldCharType="separate"/>
          </w:r>
          <w:r>
            <w:t>1</w:t>
          </w:r>
          <w:r>
            <w:fldChar w:fldCharType="end"/>
          </w:r>
          <w:r>
            <w:rPr>
              <w:rFonts w:hint="eastAsia" w:ascii="宋体" w:hAnsi="宋体" w:eastAsia="宋体" w:cs="宋体"/>
              <w:szCs w:val="24"/>
            </w:rPr>
            <w:fldChar w:fldCharType="end"/>
          </w:r>
        </w:p>
        <w:p w14:paraId="05C68145">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_Toc6183 </w:instrText>
          </w:r>
          <w:r>
            <w:rPr>
              <w:rFonts w:hint="eastAsia" w:ascii="宋体" w:hAnsi="宋体" w:eastAsia="宋体" w:cs="宋体"/>
              <w:szCs w:val="24"/>
            </w:rPr>
            <w:fldChar w:fldCharType="separate"/>
          </w:r>
          <w:r>
            <w:rPr>
              <w:rFonts w:hint="default"/>
              <w:lang w:val="en-US" w:eastAsia="zh-CN"/>
            </w:rPr>
            <w:t>1. 演练目的</w:t>
          </w:r>
          <w:r>
            <w:tab/>
          </w:r>
          <w:r>
            <w:fldChar w:fldCharType="begin"/>
          </w:r>
          <w:r>
            <w:instrText xml:space="preserve"> PAGEREF _Toc6183 \h </w:instrText>
          </w:r>
          <w:r>
            <w:fldChar w:fldCharType="separate"/>
          </w:r>
          <w:r>
            <w:t>4</w:t>
          </w:r>
          <w:r>
            <w:fldChar w:fldCharType="end"/>
          </w:r>
          <w:r>
            <w:rPr>
              <w:rFonts w:hint="eastAsia" w:ascii="宋体" w:hAnsi="宋体" w:eastAsia="宋体" w:cs="宋体"/>
              <w:szCs w:val="24"/>
            </w:rPr>
            <w:fldChar w:fldCharType="end"/>
          </w:r>
        </w:p>
        <w:p w14:paraId="4C8BAEE9">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_Toc12052 </w:instrText>
          </w:r>
          <w:r>
            <w:rPr>
              <w:rFonts w:hint="eastAsia" w:ascii="宋体" w:hAnsi="宋体" w:eastAsia="宋体" w:cs="宋体"/>
              <w:szCs w:val="24"/>
            </w:rPr>
            <w:fldChar w:fldCharType="separate"/>
          </w:r>
          <w:r>
            <w:rPr>
              <w:rFonts w:hint="default"/>
              <w:lang w:val="en-US" w:eastAsia="zh-CN"/>
            </w:rPr>
            <w:t>2. 演练目标</w:t>
          </w:r>
          <w:r>
            <w:tab/>
          </w:r>
          <w:r>
            <w:fldChar w:fldCharType="begin"/>
          </w:r>
          <w:r>
            <w:instrText xml:space="preserve"> PAGEREF _Toc12052 \h </w:instrText>
          </w:r>
          <w:r>
            <w:fldChar w:fldCharType="separate"/>
          </w:r>
          <w:r>
            <w:t>4</w:t>
          </w:r>
          <w:r>
            <w:fldChar w:fldCharType="end"/>
          </w:r>
          <w:r>
            <w:rPr>
              <w:rFonts w:hint="eastAsia" w:ascii="宋体" w:hAnsi="宋体" w:eastAsia="宋体" w:cs="宋体"/>
              <w:szCs w:val="24"/>
            </w:rPr>
            <w:fldChar w:fldCharType="end"/>
          </w:r>
        </w:p>
        <w:p w14:paraId="5084B19A">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_Toc3792 </w:instrText>
          </w:r>
          <w:r>
            <w:rPr>
              <w:rFonts w:hint="eastAsia" w:ascii="宋体" w:hAnsi="宋体" w:eastAsia="宋体" w:cs="宋体"/>
              <w:szCs w:val="24"/>
            </w:rPr>
            <w:fldChar w:fldCharType="separate"/>
          </w:r>
          <w:r>
            <w:rPr>
              <w:rFonts w:hint="default"/>
              <w:lang w:val="en-US" w:eastAsia="zh-CN"/>
            </w:rPr>
            <w:t>3. 演练场景设计（示例）</w:t>
          </w:r>
          <w:r>
            <w:tab/>
          </w:r>
          <w:r>
            <w:fldChar w:fldCharType="begin"/>
          </w:r>
          <w:r>
            <w:instrText xml:space="preserve"> PAGEREF _Toc3792 \h </w:instrText>
          </w:r>
          <w:r>
            <w:fldChar w:fldCharType="separate"/>
          </w:r>
          <w:r>
            <w:t>4</w:t>
          </w:r>
          <w:r>
            <w:fldChar w:fldCharType="end"/>
          </w:r>
          <w:r>
            <w:rPr>
              <w:rFonts w:hint="eastAsia" w:ascii="宋体" w:hAnsi="宋体" w:eastAsia="宋体" w:cs="宋体"/>
              <w:szCs w:val="24"/>
            </w:rPr>
            <w:fldChar w:fldCharType="end"/>
          </w:r>
        </w:p>
        <w:p w14:paraId="168325BB">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_Toc24003 </w:instrText>
          </w:r>
          <w:r>
            <w:rPr>
              <w:rFonts w:hint="eastAsia" w:ascii="宋体" w:hAnsi="宋体" w:eastAsia="宋体" w:cs="宋体"/>
              <w:szCs w:val="24"/>
            </w:rPr>
            <w:fldChar w:fldCharType="separate"/>
          </w:r>
          <w:r>
            <w:rPr>
              <w:rFonts w:hint="default"/>
              <w:lang w:val="en-US" w:eastAsia="zh-CN"/>
            </w:rPr>
            <w:t>4. 演练组织与角色</w:t>
          </w:r>
          <w:r>
            <w:tab/>
          </w:r>
          <w:r>
            <w:fldChar w:fldCharType="begin"/>
          </w:r>
          <w:r>
            <w:instrText xml:space="preserve"> PAGEREF _Toc24003 \h </w:instrText>
          </w:r>
          <w:r>
            <w:fldChar w:fldCharType="separate"/>
          </w:r>
          <w:r>
            <w:t>5</w:t>
          </w:r>
          <w:r>
            <w:fldChar w:fldCharType="end"/>
          </w:r>
          <w:r>
            <w:rPr>
              <w:rFonts w:hint="eastAsia" w:ascii="宋体" w:hAnsi="宋体" w:eastAsia="宋体" w:cs="宋体"/>
              <w:szCs w:val="24"/>
            </w:rPr>
            <w:fldChar w:fldCharType="end"/>
          </w:r>
        </w:p>
        <w:p w14:paraId="40E185E2">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_Toc21352 </w:instrText>
          </w:r>
          <w:r>
            <w:rPr>
              <w:rFonts w:hint="eastAsia" w:ascii="宋体" w:hAnsi="宋体" w:eastAsia="宋体" w:cs="宋体"/>
              <w:szCs w:val="24"/>
            </w:rPr>
            <w:fldChar w:fldCharType="separate"/>
          </w:r>
          <w:r>
            <w:rPr>
              <w:rFonts w:hint="default"/>
              <w:lang w:val="en-US" w:eastAsia="zh-CN"/>
            </w:rPr>
            <w:t>5. 演练阶段与流程</w:t>
          </w:r>
          <w:r>
            <w:tab/>
          </w:r>
          <w:r>
            <w:fldChar w:fldCharType="begin"/>
          </w:r>
          <w:r>
            <w:instrText xml:space="preserve"> PAGEREF _Toc21352 \h </w:instrText>
          </w:r>
          <w:r>
            <w:fldChar w:fldCharType="separate"/>
          </w:r>
          <w:r>
            <w:t>6</w:t>
          </w:r>
          <w:r>
            <w:fldChar w:fldCharType="end"/>
          </w:r>
          <w:r>
            <w:rPr>
              <w:rFonts w:hint="eastAsia" w:ascii="宋体" w:hAnsi="宋体" w:eastAsia="宋体" w:cs="宋体"/>
              <w:szCs w:val="24"/>
            </w:rPr>
            <w:fldChar w:fldCharType="end"/>
          </w:r>
        </w:p>
        <w:p w14:paraId="6A83F588">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_Toc1075 </w:instrText>
          </w:r>
          <w:r>
            <w:rPr>
              <w:rFonts w:hint="eastAsia" w:ascii="宋体" w:hAnsi="宋体" w:eastAsia="宋体" w:cs="宋体"/>
              <w:szCs w:val="24"/>
            </w:rPr>
            <w:fldChar w:fldCharType="separate"/>
          </w:r>
          <w:r>
            <w:rPr>
              <w:rFonts w:hint="default"/>
              <w:lang w:val="en-US" w:eastAsia="zh-CN"/>
            </w:rPr>
            <w:t>6. 演练评估标准</w:t>
          </w:r>
          <w:r>
            <w:tab/>
          </w:r>
          <w:r>
            <w:fldChar w:fldCharType="begin"/>
          </w:r>
          <w:r>
            <w:instrText xml:space="preserve"> PAGEREF _Toc1075 \h </w:instrText>
          </w:r>
          <w:r>
            <w:fldChar w:fldCharType="separate"/>
          </w:r>
          <w:r>
            <w:t>6</w:t>
          </w:r>
          <w:r>
            <w:fldChar w:fldCharType="end"/>
          </w:r>
          <w:r>
            <w:rPr>
              <w:rFonts w:hint="eastAsia" w:ascii="宋体" w:hAnsi="宋体" w:eastAsia="宋体" w:cs="宋体"/>
              <w:szCs w:val="24"/>
            </w:rPr>
            <w:fldChar w:fldCharType="end"/>
          </w:r>
        </w:p>
        <w:p w14:paraId="2CEEACFA">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_Toc20754 </w:instrText>
          </w:r>
          <w:r>
            <w:rPr>
              <w:rFonts w:hint="eastAsia" w:ascii="宋体" w:hAnsi="宋体" w:eastAsia="宋体" w:cs="宋体"/>
              <w:szCs w:val="24"/>
            </w:rPr>
            <w:fldChar w:fldCharType="separate"/>
          </w:r>
          <w:r>
            <w:rPr>
              <w:rFonts w:hint="default"/>
              <w:lang w:val="en-US" w:eastAsia="zh-CN"/>
            </w:rPr>
            <w:t>7. 后续改进</w:t>
          </w:r>
          <w:r>
            <w:tab/>
          </w:r>
          <w:r>
            <w:fldChar w:fldCharType="begin"/>
          </w:r>
          <w:r>
            <w:instrText xml:space="preserve"> PAGEREF _Toc20754 \h </w:instrText>
          </w:r>
          <w:r>
            <w:fldChar w:fldCharType="separate"/>
          </w:r>
          <w:r>
            <w:t>6</w:t>
          </w:r>
          <w:r>
            <w:fldChar w:fldCharType="end"/>
          </w:r>
          <w:r>
            <w:rPr>
              <w:rFonts w:hint="eastAsia" w:ascii="宋体" w:hAnsi="宋体" w:eastAsia="宋体" w:cs="宋体"/>
              <w:szCs w:val="24"/>
            </w:rPr>
            <w:fldChar w:fldCharType="end"/>
          </w:r>
        </w:p>
        <w:p w14:paraId="14B1F033">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1F2DA336">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691E47CA">
      <w:pPr>
        <w:pStyle w:val="28"/>
        <w:bidi w:val="0"/>
        <w:rPr>
          <w:rFonts w:hint="default"/>
          <w:lang w:val="en-US" w:eastAsia="zh-CN"/>
        </w:rPr>
      </w:pPr>
      <w:bookmarkStart w:id="1" w:name="_Toc6183"/>
      <w:r>
        <w:rPr>
          <w:rFonts w:hint="default"/>
          <w:lang w:val="en-US" w:eastAsia="zh-CN"/>
        </w:rPr>
        <w:t>演练目的</w:t>
      </w:r>
      <w:bookmarkEnd w:id="1"/>
    </w:p>
    <w:p w14:paraId="0033F98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为切实履行合同约定的运维服务责任，检验并提升《项目交付方案》中既定应急预案的有效性、可操作性及项目团队的应急协同能力，确保在真实发生系统重大故障或安全事件时，能够迅速、有序、高效地执行应急响应，最大程度减少对安徽益联科技有限公司（甲方）业务的影响，保障系统的可用性与数据安全，特制定本演练大纲。</w:t>
      </w:r>
    </w:p>
    <w:p w14:paraId="3EA38843">
      <w:pPr>
        <w:pStyle w:val="28"/>
        <w:bidi w:val="0"/>
        <w:rPr>
          <w:rFonts w:hint="default"/>
          <w:lang w:val="en-US" w:eastAsia="zh-CN"/>
        </w:rPr>
      </w:pPr>
      <w:bookmarkStart w:id="2" w:name="_Toc12052"/>
      <w:r>
        <w:rPr>
          <w:rFonts w:hint="default"/>
          <w:lang w:val="en-US" w:eastAsia="zh-CN"/>
        </w:rPr>
        <w:t>演练目标</w:t>
      </w:r>
      <w:bookmarkEnd w:id="2"/>
    </w:p>
    <w:p w14:paraId="7414426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流程验证目标：验证从故障发现、上报、研判、启动预案到恢复处置的全流程是否顺畅、符合规范。</w:t>
      </w:r>
    </w:p>
    <w:p w14:paraId="5153FA3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SLA达标目标：检验团队对合同及交付方案中定义的故障响应与解决时限的实际达成能力。</w:t>
      </w:r>
    </w:p>
    <w:p w14:paraId="474AC60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团队协同目标：锻炼现场驻场团队与公司后端支持团队（二线专家、质量效能部、采购部等）的跨部门、跨角色协同作战能力。</w:t>
      </w:r>
    </w:p>
    <w:p w14:paraId="6E8DE40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预案完善目标：通过演练暴露现有应急预案、资源配置和沟通机制中的不足，为持续改进提供依据。</w:t>
      </w:r>
    </w:p>
    <w:p w14:paraId="76157EA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意识提升目标：强化全员（特别是对应《人员岗位说明书》中的运维管理部经理、运维工程师、服务台专员等）的应急响应意识与客户服务意识。</w:t>
      </w:r>
    </w:p>
    <w:p w14:paraId="30173EB9">
      <w:pPr>
        <w:pStyle w:val="28"/>
        <w:bidi w:val="0"/>
        <w:rPr>
          <w:rFonts w:hint="default"/>
          <w:lang w:val="en-US" w:eastAsia="zh-CN"/>
        </w:rPr>
      </w:pPr>
      <w:bookmarkStart w:id="3" w:name="_Toc3792"/>
      <w:r>
        <w:rPr>
          <w:rFonts w:hint="default"/>
          <w:lang w:val="en-US" w:eastAsia="zh-CN"/>
        </w:rPr>
        <w:t>演练场景设计（示例）</w:t>
      </w:r>
      <w:bookmarkEnd w:id="3"/>
    </w:p>
    <w:p w14:paraId="3FE0869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场景一：核心数据库服务中断（一级故障）</w:t>
      </w:r>
    </w:p>
    <w:p w14:paraId="228039E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模拟情景：丰盈云系统核心数据库因未知原因（模拟硬件故障或逻辑错误）宕机，导致所有业务应用无法访问。</w:t>
      </w:r>
    </w:p>
    <w:p w14:paraId="5A32394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检验要点：</w:t>
      </w:r>
    </w:p>
    <w:p w14:paraId="40440AB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服务台/监控系统告警与故障初步判定的时效性。</w:t>
      </w:r>
    </w:p>
    <w:p w14:paraId="22D2CF3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现场项目经理启动一级应急响应的决策流程与上报机制（联系运维管理部经理、通知甲方接口人）。</w:t>
      </w:r>
    </w:p>
    <w:p w14:paraId="41DD1FD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应急预案中“数据库主备切换”或“紧急恢复”流程的执行效果。</w:t>
      </w:r>
    </w:p>
    <w:p w14:paraId="6529E5E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备品备件（如需更换存储）调用流程与采购部、备品备件管理员的协同效率。</w:t>
      </w:r>
    </w:p>
    <w:p w14:paraId="0531A7A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故障期间及恢复后的客户沟通话术与信息通报机制。</w:t>
      </w:r>
    </w:p>
    <w:p w14:paraId="17427BB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场景二：核心网络链路故障（二级故障）</w:t>
      </w:r>
    </w:p>
    <w:p w14:paraId="04173F7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模拟情景：连接核心业务区的某骨干网络设备（如核心交换机）发生故障，导致部分用户访问系统缓慢或中断。</w:t>
      </w:r>
    </w:p>
    <w:p w14:paraId="5E32781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检验要点：</w:t>
      </w:r>
    </w:p>
    <w:p w14:paraId="26B670C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运维工程师的初步诊断与故障定位能力。</w:t>
      </w:r>
    </w:p>
    <w:p w14:paraId="3CC79D9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应急预案中网络冗余链路切换操作的熟练度与时效。</w:t>
      </w:r>
    </w:p>
    <w:p w14:paraId="74C9E25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与甲方网络管理人员或第三方线路提供商的协调沟通流程。</w:t>
      </w:r>
    </w:p>
    <w:p w14:paraId="56A0E72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故障处理过程中的文档记录（对应交付方案中“故障处理记录”要求）。</w:t>
      </w:r>
    </w:p>
    <w:p w14:paraId="2D957F6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场景三：安全攻击事件（如勒索软件告警）</w:t>
      </w:r>
    </w:p>
    <w:p w14:paraId="21CBB7E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模拟情景：安全设备监测到针对应用服务器的大规模暴力破解或恶意软件告警。</w:t>
      </w:r>
    </w:p>
    <w:p w14:paraId="4E35106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检验要点：</w:t>
      </w:r>
    </w:p>
    <w:p w14:paraId="4B00D39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安全事件初步分析、隔离受影响系统的决策与操作。</w:t>
      </w:r>
    </w:p>
    <w:p w14:paraId="06A8A6E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向甲方及公司管理层进行安全事件报告的流程。</w:t>
      </w:r>
    </w:p>
    <w:p w14:paraId="30C1D3F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与质量效能部协同进行事件定性、根因分析的流程。</w:t>
      </w:r>
    </w:p>
    <w:p w14:paraId="74596D5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数据备份有效性验证及恢复预案的熟悉程度。</w:t>
      </w:r>
    </w:p>
    <w:p w14:paraId="0709202B">
      <w:pPr>
        <w:pStyle w:val="28"/>
        <w:bidi w:val="0"/>
        <w:rPr>
          <w:rFonts w:hint="default"/>
          <w:lang w:val="en-US" w:eastAsia="zh-CN"/>
        </w:rPr>
      </w:pPr>
      <w:bookmarkStart w:id="4" w:name="_Toc24003"/>
      <w:r>
        <w:rPr>
          <w:rFonts w:hint="default"/>
          <w:lang w:val="en-US" w:eastAsia="zh-CN"/>
        </w:rPr>
        <w:t>演练组织与角色</w:t>
      </w:r>
      <w:bookmarkEnd w:id="4"/>
    </w:p>
    <w:p w14:paraId="1227E5E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演练领导小组：</w:t>
      </w:r>
    </w:p>
    <w:p w14:paraId="08CBB83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组长：运维管理部经理（负责总指挥，批准启动/结束演练）。</w:t>
      </w:r>
    </w:p>
    <w:p w14:paraId="1AA9B83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副组长：现场项目经理（负责现场指挥与执行）、质量效能部经理（负责独立监督与评估）。</w:t>
      </w:r>
    </w:p>
    <w:p w14:paraId="040E8D0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演练执行小组：</w:t>
      </w:r>
    </w:p>
    <w:p w14:paraId="475BB36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成员：驻场运维工程师（A/B岗）、服务台专员（模拟报修）、后端二线技术专家（远程支持）、备品备件管理员（模拟备件调用）。</w:t>
      </w:r>
    </w:p>
    <w:p w14:paraId="08B914B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职责：根据预案和指令，具体执行故障排查、恢复操作、沟通记录等任务。</w:t>
      </w:r>
    </w:p>
    <w:p w14:paraId="6612C8A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观察评估组：</w:t>
      </w:r>
    </w:p>
    <w:p w14:paraId="1EB5963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成员：质量效能部专员、非本项目的高级技术专家。</w:t>
      </w:r>
    </w:p>
    <w:p w14:paraId="18D1A32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职责：全程记录各环节时间、操作规范性、沟通有效性，并进行独立评估。</w:t>
      </w:r>
    </w:p>
    <w:p w14:paraId="1F3B119C">
      <w:pPr>
        <w:pStyle w:val="28"/>
        <w:bidi w:val="0"/>
        <w:rPr>
          <w:rFonts w:hint="default"/>
          <w:lang w:val="en-US" w:eastAsia="zh-CN"/>
        </w:rPr>
      </w:pPr>
      <w:bookmarkStart w:id="5" w:name="_Toc21352"/>
      <w:r>
        <w:rPr>
          <w:rFonts w:hint="default"/>
          <w:lang w:val="en-US" w:eastAsia="zh-CN"/>
        </w:rPr>
        <w:t>演练阶段与流程</w:t>
      </w:r>
      <w:bookmarkEnd w:id="5"/>
    </w:p>
    <w:p w14:paraId="77C2738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准备阶段（演练前1周）：</w:t>
      </w:r>
    </w:p>
    <w:p w14:paraId="338571C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发布演练通知，明确时间、场景（不公布细节）、目标及要求。</w:t>
      </w:r>
    </w:p>
    <w:p w14:paraId="653C8F0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检查并确保演练环境（测试系统、模拟工具）准备就绪，不影响生产系统。</w:t>
      </w:r>
    </w:p>
    <w:p w14:paraId="7F61A91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召开演练启动会，进行角色分工与预案复习。</w:t>
      </w:r>
    </w:p>
    <w:p w14:paraId="1511BD2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执行阶段（演练当日）：</w:t>
      </w:r>
    </w:p>
    <w:p w14:paraId="2B4B037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故障注入：由评估组在预定时间触发模拟故障。</w:t>
      </w:r>
    </w:p>
    <w:p w14:paraId="77D88BB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应急响应：执行小组按真实流程响应，从监控发现/服务台接报开始。</w:t>
      </w:r>
    </w:p>
    <w:p w14:paraId="65AEC02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处置恢复：执行预案中的技术操作与协同流程，尝试在规定时限内“恢复”业务。</w:t>
      </w:r>
    </w:p>
    <w:p w14:paraId="288FD39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过程记录：所有沟通、操作、决策点均需记录。</w:t>
      </w:r>
    </w:p>
    <w:p w14:paraId="6166A0B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总结评估阶段（演练后3个工作日内）：</w:t>
      </w:r>
    </w:p>
    <w:p w14:paraId="5B6CC01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召开复盘会：所有参与人员参加。</w:t>
      </w:r>
    </w:p>
    <w:p w14:paraId="47529F8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评估组汇报：基于记录，对照演练目标逐项评估，指出优点与不足。</w:t>
      </w:r>
    </w:p>
    <w:p w14:paraId="137A989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团队自评：执行小组分享感受与改进建议。</w:t>
      </w:r>
    </w:p>
    <w:p w14:paraId="24A798B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生成报告：形成《应急演练总结报告》，内容包括演练概况、目标达成情况、发现的问题、改进措施与计划。</w:t>
      </w:r>
    </w:p>
    <w:p w14:paraId="46F6A096">
      <w:pPr>
        <w:pStyle w:val="28"/>
        <w:bidi w:val="0"/>
        <w:rPr>
          <w:rFonts w:hint="default"/>
          <w:lang w:val="en-US" w:eastAsia="zh-CN"/>
        </w:rPr>
      </w:pPr>
      <w:bookmarkStart w:id="6" w:name="_Toc1075"/>
      <w:r>
        <w:rPr>
          <w:rFonts w:hint="default"/>
          <w:lang w:val="en-US" w:eastAsia="zh-CN"/>
        </w:rPr>
        <w:t>演练评估标准</w:t>
      </w:r>
      <w:bookmarkEnd w:id="6"/>
    </w:p>
    <w:p w14:paraId="5750533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时效性：各环节响应时间是否符合或接近合同SLA及预案要求。</w:t>
      </w:r>
    </w:p>
    <w:p w14:paraId="38A9FE4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流程符合性：是否严格按照既定应急预案和公司流程执行。</w:t>
      </w:r>
    </w:p>
    <w:p w14:paraId="7B372E3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沟通有效性：内部协同与对外（甲方）通报是否及时、准确、专业。</w:t>
      </w:r>
    </w:p>
    <w:p w14:paraId="148602B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技术操作规范性：操作步骤是否清晰、安全，有无引发次生风险。</w:t>
      </w:r>
    </w:p>
    <w:p w14:paraId="66B5DA6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文档完整性：故障记录、操作日志、通报记录是否完整。</w:t>
      </w:r>
    </w:p>
    <w:p w14:paraId="71557101">
      <w:pPr>
        <w:pStyle w:val="28"/>
        <w:bidi w:val="0"/>
        <w:rPr>
          <w:rFonts w:hint="default"/>
          <w:lang w:val="en-US" w:eastAsia="zh-CN"/>
        </w:rPr>
      </w:pPr>
      <w:bookmarkStart w:id="7" w:name="_Toc20754"/>
      <w:r>
        <w:rPr>
          <w:rFonts w:hint="default"/>
          <w:lang w:val="en-US" w:eastAsia="zh-CN"/>
        </w:rPr>
        <w:t>后续改进</w:t>
      </w:r>
      <w:bookmarkEnd w:id="7"/>
    </w:p>
    <w:p w14:paraId="6182E12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演练结束后，由运维管理部牵头，根据《演练总结报告》中的改进措施，限期更新《应急预案》、优化相关流程、组织专项培训，并将闭环情况抄送质量效能部备案，作为服务质量持续改进的证据。</w:t>
      </w:r>
    </w:p>
    <w:p w14:paraId="79D2380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附件：</w:t>
      </w:r>
    </w:p>
    <w:p w14:paraId="53CAC3CE">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《丰盈云项目应急预案》（对应具体技术操作步骤）。</w:t>
      </w:r>
    </w:p>
    <w:p w14:paraId="5BF26F13">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《应急演练过程记录表》。</w:t>
      </w:r>
    </w:p>
    <w:p w14:paraId="2BE635F5">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《应急演练评估表》。</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6DDB8C">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北京新都远景网络技术有限公司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90B2E68B"/>
    <w:multiLevelType w:val="singleLevel"/>
    <w:tmpl w:val="90B2E68B"/>
    <w:lvl w:ilvl="0" w:tentative="0">
      <w:start w:val="1"/>
      <w:numFmt w:val="decimal"/>
      <w:lvlText w:val="%1."/>
      <w:lvlJc w:val="left"/>
      <w:pPr>
        <w:ind w:left="425" w:hanging="425"/>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2437453"/>
    <w:rsid w:val="05263B5D"/>
    <w:rsid w:val="05AD3936"/>
    <w:rsid w:val="0DB461AA"/>
    <w:rsid w:val="1399374C"/>
    <w:rsid w:val="14B22D17"/>
    <w:rsid w:val="198C1D89"/>
    <w:rsid w:val="267C4F33"/>
    <w:rsid w:val="26CC7C68"/>
    <w:rsid w:val="27AA4F6F"/>
    <w:rsid w:val="29E90B31"/>
    <w:rsid w:val="2D8079FF"/>
    <w:rsid w:val="2DC31699"/>
    <w:rsid w:val="2E422F06"/>
    <w:rsid w:val="2F324D29"/>
    <w:rsid w:val="3278079C"/>
    <w:rsid w:val="3700749A"/>
    <w:rsid w:val="37D22C05"/>
    <w:rsid w:val="383843EC"/>
    <w:rsid w:val="38634DA4"/>
    <w:rsid w:val="3D0221DE"/>
    <w:rsid w:val="3FB62E0C"/>
    <w:rsid w:val="3FE23C01"/>
    <w:rsid w:val="41A56DD6"/>
    <w:rsid w:val="466038FE"/>
    <w:rsid w:val="4FFD1117"/>
    <w:rsid w:val="59305585"/>
    <w:rsid w:val="5CFC40FC"/>
    <w:rsid w:val="605129B1"/>
    <w:rsid w:val="62073330"/>
    <w:rsid w:val="65D26342"/>
    <w:rsid w:val="661324B7"/>
    <w:rsid w:val="6EF9291E"/>
    <w:rsid w:val="6F3A1760"/>
    <w:rsid w:val="7055204A"/>
    <w:rsid w:val="708741CD"/>
    <w:rsid w:val="738642C8"/>
    <w:rsid w:val="79297BCF"/>
    <w:rsid w:val="795409C4"/>
    <w:rsid w:val="7ADB314B"/>
    <w:rsid w:val="7BF404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link w:val="43"/>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 w:type="character" w:customStyle="1" w:styleId="43">
    <w:name w:val="柴_标题3 Char"/>
    <w:link w:val="31"/>
    <w:qFormat/>
    <w:uiPriority w:val="0"/>
    <w:rPr>
      <w:rFonts w:ascii="宋体" w:hAnsi="宋体" w:eastAsia="宋体" w:cs="宋体"/>
      <w:spacing w:val="-2"/>
      <w:sz w:val="24"/>
      <w:szCs w:val="24"/>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2009</Words>
  <Characters>2077</Characters>
  <Lines>0</Lines>
  <Paragraphs>0</Paragraphs>
  <TotalTime>0</TotalTime>
  <ScaleCrop>false</ScaleCrop>
  <LinksUpToDate>false</LinksUpToDate>
  <CharactersWithSpaces>2108</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2026-01-12T16:08:53Z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