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8DE1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138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383A364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661"/>
      <w:r>
        <w:rPr>
          <w:rFonts w:hint="eastAsia"/>
          <w:lang w:val="en-US" w:eastAsia="zh-CN"/>
        </w:rPr>
        <w:t>运维服务沟通管理制度</w:t>
      </w:r>
      <w:bookmarkEnd w:id="1"/>
    </w:p>
    <w:p w14:paraId="6C1DC86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164C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FED81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4FEA8F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D930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CE28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F30EE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F6D9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454B7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54C306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0A2CE7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A84ABA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677B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275849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742F3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43542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C5CE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9E0BF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179CDC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4FD672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64473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1FE36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623B8D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8F331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79B2C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DE1CA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952CF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EFA48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7017D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CBD26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6DB71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0A7DF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28CAC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2E3FD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747F4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7EFC1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B05FD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E2AA04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04AB04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160EE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_Toc25138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5FBC5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运维服务沟通管理制度</w:t>
          </w:r>
          <w:r>
            <w:tab/>
          </w:r>
          <w:r>
            <w:fldChar w:fldCharType="begin"/>
          </w:r>
          <w:r>
            <w:instrText xml:space="preserve"> PAGEREF _Toc16661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CDEB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_Toc25620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E203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_Toc26899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54BE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_Toc18770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B307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266C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4FC50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运维管理部经理</w:t>
          </w:r>
          <w:r>
            <w:tab/>
          </w:r>
          <w:r>
            <w:fldChar w:fldCharType="begin"/>
          </w:r>
          <w:r>
            <w:instrText xml:space="preserve"> PAGEREF _Toc9019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38E16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_Toc20199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F47F5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运维工程师</w:t>
          </w:r>
          <w:r>
            <w:tab/>
          </w:r>
          <w:r>
            <w:fldChar w:fldCharType="begin"/>
          </w:r>
          <w:r>
            <w:instrText xml:space="preserve"> PAGEREF _Toc3244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B178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_Toc27309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C649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_Toc15788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FAC6B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正式沟通</w:t>
          </w:r>
          <w:r>
            <w:tab/>
          </w:r>
          <w:r>
            <w:fldChar w:fldCharType="begin"/>
          </w:r>
          <w:r>
            <w:instrText xml:space="preserve"> PAGEREF _Toc9438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25E2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非正式沟通</w:t>
          </w:r>
          <w:r>
            <w:tab/>
          </w:r>
          <w:r>
            <w:fldChar w:fldCharType="begin"/>
          </w:r>
          <w:r>
            <w:instrText xml:space="preserve"> PAGEREF _Toc6440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B650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干系人</w:t>
          </w:r>
          <w:r>
            <w:tab/>
          </w:r>
          <w:r>
            <w:fldChar w:fldCharType="begin"/>
          </w:r>
          <w:r>
            <w:instrText xml:space="preserve"> PAGEREF _Toc8026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B155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2FEF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沟通规划与定义</w:t>
          </w:r>
          <w:r>
            <w:tab/>
          </w:r>
          <w:r>
            <w:fldChar w:fldCharType="begin"/>
          </w:r>
          <w:r>
            <w:instrText xml:space="preserve"> PAGEREF _Toc25314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0BE4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沟通内容与实施</w:t>
          </w:r>
          <w:r>
            <w:tab/>
          </w:r>
          <w:r>
            <w:fldChar w:fldCharType="begin"/>
          </w:r>
          <w:r>
            <w:instrText xml:space="preserve"> PAGEREF _Toc13461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61EF4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与客户的沟通</w:t>
          </w:r>
          <w:r>
            <w:tab/>
          </w:r>
          <w:r>
            <w:fldChar w:fldCharType="begin"/>
          </w:r>
          <w:r>
            <w:instrText xml:space="preserve"> PAGEREF _Toc30181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C9FB4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与上层领导的沟通</w:t>
          </w:r>
          <w:r>
            <w:tab/>
          </w:r>
          <w:r>
            <w:fldChar w:fldCharType="begin"/>
          </w:r>
          <w:r>
            <w:instrText xml:space="preserve"> PAGEREF _Toc1961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B97E8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项目内部沟通</w:t>
          </w:r>
          <w:r>
            <w:tab/>
          </w:r>
          <w:r>
            <w:fldChar w:fldCharType="begin"/>
          </w:r>
          <w:r>
            <w:instrText xml:space="preserve"> PAGEREF _Toc9843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EBEFA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4.2.4. 跨部门沟通</w:t>
          </w:r>
          <w:r>
            <w:tab/>
          </w:r>
          <w:r>
            <w:fldChar w:fldCharType="begin"/>
          </w:r>
          <w:r>
            <w:instrText xml:space="preserve"> PAGEREF _Toc3654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F36B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沟通执行与反馈</w:t>
          </w:r>
          <w:r>
            <w:tab/>
          </w:r>
          <w:r>
            <w:fldChar w:fldCharType="begin"/>
          </w:r>
          <w:r>
            <w:instrText xml:space="preserve"> PAGEREF _Toc2284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6E5F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沟通总结与记录</w:t>
          </w:r>
          <w:r>
            <w:tab/>
          </w:r>
          <w:r>
            <w:fldChar w:fldCharType="begin"/>
          </w:r>
          <w:r>
            <w:instrText xml:space="preserve"> PAGEREF _Toc18056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9F23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_Toc31032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904A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AA483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_Toc6775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CAF4B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D983FF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2414CD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5620"/>
      <w:r>
        <w:rPr>
          <w:rFonts w:hint="eastAsia"/>
          <w:lang w:val="en-US" w:eastAsia="zh-CN"/>
        </w:rPr>
        <w:t>总则</w:t>
      </w:r>
      <w:bookmarkEnd w:id="2"/>
    </w:p>
    <w:p w14:paraId="7F178C0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6899"/>
      <w:r>
        <w:rPr>
          <w:rFonts w:hint="eastAsia"/>
          <w:lang w:val="en-US" w:eastAsia="zh-CN"/>
        </w:rPr>
        <w:t>目的</w:t>
      </w:r>
      <w:bookmarkEnd w:id="3"/>
    </w:p>
    <w:p w14:paraId="66CE2BB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为规范公司项目执行过程中的沟通管理，确保供需双方及项目各参与方之间信息传递的及时、准确与顺畅，提升协作效率，保障项目目标顺利达成，特制定本制度。</w:t>
      </w:r>
    </w:p>
    <w:p w14:paraId="484F6FF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8770"/>
      <w:r>
        <w:rPr>
          <w:rFonts w:hint="eastAsia"/>
          <w:lang w:val="en-US" w:eastAsia="zh-CN"/>
        </w:rPr>
        <w:t>适用范围</w:t>
      </w:r>
      <w:bookmarkEnd w:id="4"/>
    </w:p>
    <w:p w14:paraId="5363CB6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本制度适用于北京新都远景网络技术有限公司所有项目人员，包括供方、需方以及其他经需方正式授权的项目参与人员。</w:t>
      </w:r>
    </w:p>
    <w:p w14:paraId="22906F5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8502"/>
      <w:r>
        <w:rPr>
          <w:rFonts w:hint="eastAsia"/>
          <w:lang w:val="en-US" w:eastAsia="zh-CN"/>
        </w:rPr>
        <w:t>原则</w:t>
      </w:r>
      <w:bookmarkEnd w:id="5"/>
    </w:p>
    <w:p w14:paraId="32079932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主动沟通：预见沟通需求，主动发起并推进沟通活动。</w:t>
      </w:r>
    </w:p>
    <w:p w14:paraId="728B4AA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准确一致：确保沟通信息的准确性，维护同一信息在不同渠道的一致性。</w:t>
      </w:r>
    </w:p>
    <w:p w14:paraId="7EDCBF82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及时高效：根据事项的紧急与重要程度，选择适当的渠道与频率，确保信息传递时效。</w:t>
      </w:r>
    </w:p>
    <w:p w14:paraId="09794A9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记录可溯：重要沟通须留有记录，确保过程与结果可追溯。</w:t>
      </w:r>
    </w:p>
    <w:p w14:paraId="0F71E87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1191"/>
      <w:r>
        <w:rPr>
          <w:rFonts w:hint="eastAsia"/>
          <w:lang w:val="en-US" w:eastAsia="zh-CN"/>
        </w:rPr>
        <w:t>岗位职责</w:t>
      </w:r>
      <w:bookmarkEnd w:id="6"/>
    </w:p>
    <w:p w14:paraId="006D0CA9">
      <w:pPr>
        <w:pStyle w:val="31"/>
        <w:bidi w:val="0"/>
        <w:rPr>
          <w:rFonts w:hint="default"/>
          <w:lang w:val="en-US" w:eastAsia="zh-CN"/>
        </w:rPr>
      </w:pPr>
      <w:bookmarkStart w:id="7" w:name="_Toc9019"/>
      <w:r>
        <w:rPr>
          <w:rFonts w:hint="default"/>
          <w:lang w:val="en-US" w:eastAsia="zh-CN"/>
        </w:rPr>
        <w:t>运维管理部经理</w:t>
      </w:r>
      <w:bookmarkEnd w:id="7"/>
    </w:p>
    <w:p w14:paraId="6067D39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主导与客户、公司决策层等关键干系人的高层次沟通；明确项目沟通整体策略与要求；定期通报项目沟通总体情况。</w:t>
      </w:r>
    </w:p>
    <w:p w14:paraId="628895F6">
      <w:pPr>
        <w:pStyle w:val="31"/>
        <w:bidi w:val="0"/>
        <w:rPr>
          <w:rFonts w:hint="default"/>
          <w:lang w:val="en-US" w:eastAsia="zh-CN"/>
        </w:rPr>
      </w:pPr>
      <w:bookmarkStart w:id="8" w:name="_Toc20199"/>
      <w:r>
        <w:rPr>
          <w:rFonts w:hint="eastAsia"/>
          <w:lang w:val="en-US" w:eastAsia="zh-CN"/>
        </w:rPr>
        <w:t>运维项目经理</w:t>
      </w:r>
      <w:bookmarkEnd w:id="8"/>
    </w:p>
    <w:p w14:paraId="1398A48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管理项目干系人，确保信息在团队内外有效传递；选择并管理项目沟通方法与媒介；组织完成并保存关键沟通记录。</w:t>
      </w:r>
    </w:p>
    <w:p w14:paraId="2BCFA098">
      <w:pPr>
        <w:pStyle w:val="31"/>
        <w:bidi w:val="0"/>
        <w:rPr>
          <w:rFonts w:hint="default"/>
          <w:lang w:val="en-US" w:eastAsia="zh-CN"/>
        </w:rPr>
      </w:pPr>
      <w:bookmarkStart w:id="9" w:name="_Toc3244"/>
      <w:r>
        <w:rPr>
          <w:rFonts w:hint="default"/>
          <w:lang w:val="en-US" w:eastAsia="zh-CN"/>
        </w:rPr>
        <w:t>运维工程师</w:t>
      </w:r>
      <w:bookmarkEnd w:id="9"/>
    </w:p>
    <w:p w14:paraId="70E006F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在职责范围内与客户、团队及接口部门进行日常沟通；参与技术讨论与经验交流；结合岗位实践提出合理化建议。</w:t>
      </w:r>
    </w:p>
    <w:p w14:paraId="2D0E57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7309"/>
      <w:r>
        <w:rPr>
          <w:rFonts w:hint="eastAsia"/>
          <w:lang w:val="en-US" w:eastAsia="zh-CN"/>
        </w:rPr>
        <w:t>引用依据</w:t>
      </w:r>
      <w:bookmarkEnd w:id="10"/>
    </w:p>
    <w:p w14:paraId="176A2B9F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69579DDB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公司《运维服务能力管理体系》相关要求</w:t>
      </w:r>
    </w:p>
    <w:p w14:paraId="68A1892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5788"/>
      <w:r>
        <w:rPr>
          <w:rFonts w:hint="eastAsia"/>
          <w:lang w:val="en-US" w:eastAsia="zh-CN"/>
        </w:rPr>
        <w:t>定义与术语</w:t>
      </w:r>
      <w:bookmarkEnd w:id="11"/>
    </w:p>
    <w:p w14:paraId="4F9214EC">
      <w:pPr>
        <w:pStyle w:val="30"/>
        <w:bidi w:val="0"/>
        <w:rPr>
          <w:rFonts w:hint="eastAsia"/>
        </w:rPr>
      </w:pPr>
      <w:bookmarkStart w:id="12" w:name="_Toc9438"/>
      <w:r>
        <w:rPr>
          <w:rFonts w:hint="eastAsia"/>
        </w:rPr>
        <w:t>正式沟通</w:t>
      </w:r>
      <w:bookmarkEnd w:id="12"/>
    </w:p>
    <w:p w14:paraId="1ADF2594">
      <w:pPr>
        <w:pStyle w:val="29"/>
        <w:rPr>
          <w:rFonts w:hint="eastAsia"/>
        </w:rPr>
      </w:pPr>
      <w:r>
        <w:rPr>
          <w:rFonts w:hint="eastAsia"/>
        </w:rPr>
        <w:t>通过合同、报告、会议纪要、演讲等预定义渠道和格式进行的沟通，具有强制性，通常需保存记录。</w:t>
      </w:r>
    </w:p>
    <w:p w14:paraId="496968EB">
      <w:pPr>
        <w:pStyle w:val="30"/>
        <w:bidi w:val="0"/>
        <w:rPr>
          <w:rFonts w:hint="eastAsia"/>
        </w:rPr>
      </w:pPr>
      <w:bookmarkStart w:id="13" w:name="_Toc6440"/>
      <w:r>
        <w:rPr>
          <w:rFonts w:hint="eastAsia"/>
        </w:rPr>
        <w:t>非正式沟通</w:t>
      </w:r>
      <w:bookmarkEnd w:id="13"/>
    </w:p>
    <w:p w14:paraId="673BBA0A">
      <w:pPr>
        <w:pStyle w:val="29"/>
        <w:rPr>
          <w:rFonts w:hint="eastAsia"/>
        </w:rPr>
      </w:pPr>
      <w:r>
        <w:rPr>
          <w:rFonts w:hint="eastAsia"/>
        </w:rPr>
        <w:t>通过谈话、笔记、即时通讯等非固定形式进行的沟通，灵活高效，作为正式沟通的补充。</w:t>
      </w:r>
    </w:p>
    <w:p w14:paraId="787EAD9D">
      <w:pPr>
        <w:pStyle w:val="30"/>
        <w:bidi w:val="0"/>
        <w:rPr>
          <w:rFonts w:hint="eastAsia"/>
        </w:rPr>
      </w:pPr>
      <w:bookmarkStart w:id="14" w:name="_Toc8026"/>
      <w:r>
        <w:rPr>
          <w:rFonts w:hint="eastAsia"/>
        </w:rPr>
        <w:t>干系人</w:t>
      </w:r>
      <w:bookmarkEnd w:id="14"/>
    </w:p>
    <w:p w14:paraId="5816CFFF">
      <w:pPr>
        <w:pStyle w:val="29"/>
      </w:pPr>
      <w:r>
        <w:rPr>
          <w:rFonts w:hint="eastAsia"/>
        </w:rPr>
        <w:t>任何能影响项目决策、活动或结果的个人、群体或组织。</w:t>
      </w:r>
    </w:p>
    <w:p w14:paraId="6C2D534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92"/>
      <w:r>
        <w:rPr>
          <w:rFonts w:hint="eastAsia"/>
          <w:lang w:val="en-US" w:eastAsia="zh-CN"/>
        </w:rPr>
        <w:t>管理内容与要求</w:t>
      </w:r>
      <w:bookmarkEnd w:id="15"/>
    </w:p>
    <w:p w14:paraId="29037515">
      <w:pPr>
        <w:pStyle w:val="30"/>
        <w:bidi w:val="0"/>
        <w:rPr>
          <w:rFonts w:hint="default"/>
          <w:lang w:val="en-US" w:eastAsia="zh-CN"/>
        </w:rPr>
      </w:pPr>
      <w:bookmarkStart w:id="16" w:name="_Toc25314"/>
      <w:r>
        <w:rPr>
          <w:rFonts w:hint="default"/>
          <w:lang w:val="en-US" w:eastAsia="zh-CN"/>
        </w:rPr>
        <w:t>沟通规划与定义</w:t>
      </w:r>
      <w:bookmarkEnd w:id="16"/>
    </w:p>
    <w:p w14:paraId="4B23964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项目启动阶段，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应牵头制定初步沟通计划，明确以下内容：</w:t>
      </w:r>
    </w:p>
    <w:p w14:paraId="6C30AF0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沟通矩阵：定义不同干系人所需的信息内容、格式、频率、发送方式及责任人。</w:t>
      </w:r>
    </w:p>
    <w:p w14:paraId="17259A0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沟通方式选择：根据沟通内容的重要性、紧急性和受众，选择合适的沟通方式（如</w:t>
      </w:r>
      <w:r>
        <w:rPr>
          <w:rFonts w:hint="eastAsia"/>
          <w:lang w:val="en-US" w:eastAsia="zh-CN"/>
        </w:rPr>
        <w:t>表4-1所示</w:t>
      </w:r>
      <w:r>
        <w:rPr>
          <w:rFonts w:hint="default"/>
          <w:lang w:val="en-US" w:eastAsia="zh-CN"/>
        </w:rPr>
        <w:t>），并确保团队共同遵守。</w:t>
      </w:r>
    </w:p>
    <w:p w14:paraId="07B9874B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SEQ 表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沟通方式选择表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3360"/>
        <w:gridCol w:w="3739"/>
      </w:tblGrid>
      <w:tr w14:paraId="5507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25046BBF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沟通方式</w:t>
            </w:r>
          </w:p>
        </w:tc>
        <w:tc>
          <w:tcPr>
            <w:tcW w:w="3360" w:type="dxa"/>
          </w:tcPr>
          <w:p w14:paraId="796A43CC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特点</w:t>
            </w:r>
          </w:p>
        </w:tc>
        <w:tc>
          <w:tcPr>
            <w:tcW w:w="3739" w:type="dxa"/>
          </w:tcPr>
          <w:p w14:paraId="4000317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</w:tr>
      <w:tr w14:paraId="7D869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423" w:type="dxa"/>
          </w:tcPr>
          <w:p w14:paraId="4270AA4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正式书面</w:t>
            </w:r>
          </w:p>
        </w:tc>
        <w:tc>
          <w:tcPr>
            <w:tcW w:w="3360" w:type="dxa"/>
          </w:tcPr>
          <w:p w14:paraId="2BA3F867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内容严谨，可留存，不易失真</w:t>
            </w:r>
          </w:p>
        </w:tc>
        <w:tc>
          <w:tcPr>
            <w:tcW w:w="3739" w:type="dxa"/>
          </w:tcPr>
          <w:p w14:paraId="1A9FD3B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合同、方案、报告、会议纪要</w:t>
            </w:r>
          </w:p>
        </w:tc>
      </w:tr>
      <w:tr w14:paraId="606E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423" w:type="dxa"/>
          </w:tcPr>
          <w:p w14:paraId="09AC5E42">
            <w:pPr>
              <w:pStyle w:val="29"/>
              <w:widowControl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书面</w:t>
            </w:r>
          </w:p>
        </w:tc>
        <w:tc>
          <w:tcPr>
            <w:tcW w:w="3360" w:type="dxa"/>
          </w:tcPr>
          <w:p w14:paraId="437CA1C5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灵活，格式自由</w:t>
            </w:r>
          </w:p>
        </w:tc>
        <w:tc>
          <w:tcPr>
            <w:tcW w:w="3739" w:type="dxa"/>
          </w:tcPr>
          <w:p w14:paraId="20E34389">
            <w:pPr>
              <w:pStyle w:val="29"/>
              <w:widowControl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个人工作笔记、即时贴、群内通知</w:t>
            </w:r>
          </w:p>
        </w:tc>
      </w:tr>
      <w:tr w14:paraId="731DC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3D93DE4F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正式口头</w:t>
            </w:r>
          </w:p>
        </w:tc>
        <w:tc>
          <w:tcPr>
            <w:tcW w:w="3360" w:type="dxa"/>
          </w:tcPr>
          <w:p w14:paraId="2DDD7078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直接高效，但需辅以记录</w:t>
            </w:r>
          </w:p>
        </w:tc>
        <w:tc>
          <w:tcPr>
            <w:tcW w:w="3739" w:type="dxa"/>
          </w:tcPr>
          <w:p w14:paraId="6228526A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项目启动会、汇报、评审会</w:t>
            </w:r>
          </w:p>
        </w:tc>
      </w:tr>
      <w:tr w14:paraId="1B5F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63E3ADE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非正式口头</w:t>
            </w:r>
          </w:p>
        </w:tc>
        <w:tc>
          <w:tcPr>
            <w:tcW w:w="3360" w:type="dxa"/>
          </w:tcPr>
          <w:p w14:paraId="5DB0E5FC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灵活快捷，效率高</w:t>
            </w:r>
          </w:p>
        </w:tc>
        <w:tc>
          <w:tcPr>
            <w:tcW w:w="3739" w:type="dxa"/>
          </w:tcPr>
          <w:p w14:paraId="51B6950D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日常讨论、问题初步探询</w:t>
            </w:r>
          </w:p>
        </w:tc>
      </w:tr>
    </w:tbl>
    <w:p w14:paraId="5B9AC5B6">
      <w:pPr>
        <w:pStyle w:val="30"/>
        <w:bidi w:val="0"/>
        <w:rPr>
          <w:rFonts w:hint="default"/>
          <w:lang w:val="en-US" w:eastAsia="zh-CN"/>
        </w:rPr>
      </w:pPr>
      <w:bookmarkStart w:id="17" w:name="_Toc13461"/>
      <w:r>
        <w:rPr>
          <w:rFonts w:hint="default"/>
          <w:lang w:val="en-US" w:eastAsia="zh-CN"/>
        </w:rPr>
        <w:t>沟通内容与实施</w:t>
      </w:r>
      <w:bookmarkEnd w:id="17"/>
    </w:p>
    <w:p w14:paraId="2C32021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本部分规定了与不同干系人群体的核心沟通内容与实施路径。</w:t>
      </w:r>
    </w:p>
    <w:p w14:paraId="413EBF08">
      <w:pPr>
        <w:pStyle w:val="31"/>
        <w:bidi w:val="0"/>
        <w:rPr>
          <w:rFonts w:hint="default"/>
          <w:lang w:val="en-US" w:eastAsia="zh-CN"/>
        </w:rPr>
      </w:pPr>
      <w:bookmarkStart w:id="18" w:name="_Toc30181"/>
      <w:r>
        <w:rPr>
          <w:rFonts w:hint="default"/>
          <w:lang w:val="en-US" w:eastAsia="zh-CN"/>
        </w:rPr>
        <w:t>与客户的沟通</w:t>
      </w:r>
      <w:bookmarkEnd w:id="18"/>
    </w:p>
    <w:p w14:paraId="78D0AF0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核心内容：聚焦客户关注的成本、质量与进度。任何可能导致范围、成本、进度变更的事项，均应提前、主动沟通，说明原因与影响。</w:t>
      </w:r>
    </w:p>
    <w:p w14:paraId="72A8FF4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实施路径：通过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进行日常电话支持与回访；紧急问题启动远程或现场支持；所有正式沟通均需保存记录，并按要求录入指定业务流程系统。</w:t>
      </w:r>
    </w:p>
    <w:p w14:paraId="22B0F800">
      <w:pPr>
        <w:pStyle w:val="31"/>
        <w:bidi w:val="0"/>
        <w:rPr>
          <w:rFonts w:hint="default"/>
          <w:lang w:val="en-US" w:eastAsia="zh-CN"/>
        </w:rPr>
      </w:pPr>
      <w:bookmarkStart w:id="19" w:name="_Toc1961"/>
      <w:r>
        <w:rPr>
          <w:rFonts w:hint="default"/>
          <w:lang w:val="en-US" w:eastAsia="zh-CN"/>
        </w:rPr>
        <w:t>与上层领导的沟通</w:t>
      </w:r>
      <w:bookmarkEnd w:id="19"/>
    </w:p>
    <w:p w14:paraId="526DDA6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核心内容：及时、如实地汇报项目重大进展、风险（如延期、成本超支、重大质量问题）及关键决策需求。</w:t>
      </w:r>
    </w:p>
    <w:p w14:paraId="0C686B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负责通过定期报告或专项汇报方式进行，确保管理层信息同步，以便其作出决策或调整计划。</w:t>
      </w:r>
    </w:p>
    <w:p w14:paraId="465B6E71">
      <w:pPr>
        <w:pStyle w:val="31"/>
        <w:bidi w:val="0"/>
        <w:rPr>
          <w:rFonts w:hint="default"/>
          <w:lang w:val="en-US" w:eastAsia="zh-CN"/>
        </w:rPr>
      </w:pPr>
      <w:bookmarkStart w:id="20" w:name="_Toc9843"/>
      <w:r>
        <w:rPr>
          <w:rFonts w:hint="default"/>
          <w:lang w:val="en-US" w:eastAsia="zh-CN"/>
        </w:rPr>
        <w:t>项目内部沟通</w:t>
      </w:r>
      <w:bookmarkEnd w:id="20"/>
    </w:p>
    <w:p w14:paraId="2B4CB87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核心内容：涵盖技术讨论、经验交流、任务分配、绩效反馈、问题协调等日常运营活动。</w:t>
      </w:r>
    </w:p>
    <w:p w14:paraId="625FD21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实施路径：主要通过团队会议、即时通讯工具、邮件等方式进行，确保信息在项目团队内部充分共享。</w:t>
      </w:r>
    </w:p>
    <w:p w14:paraId="440B7E3B">
      <w:pPr>
        <w:pStyle w:val="31"/>
        <w:bidi w:val="0"/>
        <w:rPr>
          <w:rFonts w:hint="default"/>
          <w:lang w:val="en-US" w:eastAsia="zh-CN"/>
        </w:rPr>
      </w:pPr>
      <w:bookmarkStart w:id="21" w:name="_Toc3654"/>
      <w:r>
        <w:rPr>
          <w:rFonts w:hint="default"/>
          <w:lang w:val="en-US" w:eastAsia="zh-CN"/>
        </w:rPr>
        <w:t>跨部门沟通</w:t>
      </w:r>
      <w:bookmarkEnd w:id="21"/>
    </w:p>
    <w:p w14:paraId="3B683E3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核心内容与接口：</w:t>
      </w:r>
    </w:p>
    <w:p w14:paraId="00B789A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采购部：对接供应商信息、备品备件供应状态。</w:t>
      </w:r>
    </w:p>
    <w:p w14:paraId="4F9092A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质量效能部：通报项目质量状况，接受质量监督。</w:t>
      </w:r>
    </w:p>
    <w:p w14:paraId="410CFC3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人力资源部：提出人力资源需求，协调人员培训与储备。</w:t>
      </w:r>
    </w:p>
    <w:p w14:paraId="24F4626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实施路径：建立常态化接口人机制，通过联席会议、工作联系单等形式进行。</w:t>
      </w:r>
    </w:p>
    <w:p w14:paraId="7466ADAC">
      <w:pPr>
        <w:pStyle w:val="30"/>
        <w:bidi w:val="0"/>
        <w:rPr>
          <w:rFonts w:hint="default"/>
          <w:lang w:val="en-US" w:eastAsia="zh-CN"/>
        </w:rPr>
      </w:pPr>
      <w:bookmarkStart w:id="22" w:name="_Toc2284"/>
      <w:r>
        <w:rPr>
          <w:rFonts w:hint="default"/>
          <w:lang w:val="en-US" w:eastAsia="zh-CN"/>
        </w:rPr>
        <w:t>沟通执行与反馈</w:t>
      </w:r>
      <w:bookmarkEnd w:id="22"/>
    </w:p>
    <w:p w14:paraId="1D2E953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反馈确认机制：信息发送方有责任确保信息清晰、完整；接收方有责任确认已收到并正确理解信息。重要指令或决策须通过回执、回复等方式明确确认。</w:t>
      </w:r>
    </w:p>
    <w:p w14:paraId="3066C16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沟通报告：根据沟通情况，形成定期报告（周/月报）、阶段审查报告或紧急事件报告。</w:t>
      </w:r>
    </w:p>
    <w:p w14:paraId="5C2B3DF7">
      <w:pPr>
        <w:pStyle w:val="30"/>
        <w:bidi w:val="0"/>
        <w:rPr>
          <w:rFonts w:hint="default"/>
          <w:lang w:val="en-US" w:eastAsia="zh-CN"/>
        </w:rPr>
      </w:pPr>
      <w:bookmarkStart w:id="23" w:name="_Toc18056"/>
      <w:r>
        <w:rPr>
          <w:rFonts w:hint="default"/>
          <w:lang w:val="en-US" w:eastAsia="zh-CN"/>
        </w:rPr>
        <w:t>沟通总结与记录</w:t>
      </w:r>
      <w:bookmarkEnd w:id="23"/>
    </w:p>
    <w:p w14:paraId="71A9EC6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记录要求：所有正式沟通及产生结论的非正式沟通，均须有输出物，如会议纪要、邮件或简明的沟通记录，并经相关方确认。</w:t>
      </w:r>
    </w:p>
    <w:p w14:paraId="19C787E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归档管理：与客户的重要沟通记录，必须按规定及时录入公司指定的业务流程管理系统（如钉钉），并抄送所有相关干系人。所有沟通记录由项目组整理并定期归档。</w:t>
      </w:r>
    </w:p>
    <w:p w14:paraId="69A137F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4" w:name="bookmark3"/>
      <w:bookmarkEnd w:id="24"/>
      <w:bookmarkStart w:id="25" w:name="_Toc17424"/>
      <w:bookmarkStart w:id="26" w:name="_Toc31032"/>
      <w:r>
        <w:rPr>
          <w:rStyle w:val="38"/>
          <w:rFonts w:hint="eastAsia" w:eastAsia="宋体"/>
          <w:lang w:val="en-US" w:eastAsia="zh-CN"/>
        </w:rPr>
        <w:t>附则</w:t>
      </w:r>
      <w:bookmarkEnd w:id="25"/>
      <w:bookmarkEnd w:id="26"/>
    </w:p>
    <w:p w14:paraId="236B7643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质量效能部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FF323DC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D9AD73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530"/>
      <w:r>
        <w:rPr>
          <w:rFonts w:hint="eastAsia"/>
          <w:lang w:val="en-US" w:eastAsia="zh-CN"/>
        </w:rPr>
        <w:t>附件</w:t>
      </w:r>
      <w:bookmarkEnd w:id="28"/>
    </w:p>
    <w:p w14:paraId="131BD763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《项目沟通计划》（模板）</w:t>
      </w:r>
    </w:p>
    <w:p w14:paraId="22450433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《会议纪要》（模板）</w:t>
      </w:r>
    </w:p>
    <w:p w14:paraId="163C8C01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《关键沟通记录表》</w:t>
      </w:r>
    </w:p>
    <w:p w14:paraId="32C13F4E">
      <w:pPr>
        <w:rPr>
          <w:rFonts w:hint="eastAsia"/>
          <w:lang w:val="en-US" w:eastAsia="zh-CN"/>
        </w:rPr>
      </w:pPr>
      <w:bookmarkStart w:id="29" w:name="_Toc6775"/>
      <w:r>
        <w:rPr>
          <w:rFonts w:hint="eastAsia"/>
          <w:lang w:val="en-US" w:eastAsia="zh-CN"/>
        </w:rPr>
        <w:br w:type="page"/>
      </w:r>
    </w:p>
    <w:p w14:paraId="7E7E27D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GoBack"/>
      <w:bookmarkEnd w:id="30"/>
      <w:r>
        <w:rPr>
          <w:rFonts w:hint="eastAsia"/>
          <w:lang w:val="en-US" w:eastAsia="zh-CN"/>
        </w:rPr>
        <w:t>记录</w:t>
      </w:r>
      <w:bookmarkEnd w:id="29"/>
    </w:p>
    <w:p w14:paraId="72DE3DBD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《会议纪要》</w:t>
      </w:r>
    </w:p>
    <w:p w14:paraId="6762F80E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《项目周/月报》</w:t>
      </w:r>
    </w:p>
    <w:p w14:paraId="7D9F24A8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录入系统的客户沟通记录</w:t>
      </w:r>
    </w:p>
    <w:p w14:paraId="4EB0D4E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所有记录由项目组负责保存，项目结束后统一移交至质量效能部或指定部门归档，保存期限不少于3年。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C048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890AD58"/>
    <w:multiLevelType w:val="singleLevel"/>
    <w:tmpl w:val="0890AD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837048E"/>
    <w:multiLevelType w:val="singleLevel"/>
    <w:tmpl w:val="383704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7AEE7FA"/>
    <w:multiLevelType w:val="singleLevel"/>
    <w:tmpl w:val="47AEE7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E17D214"/>
    <w:multiLevelType w:val="singleLevel"/>
    <w:tmpl w:val="7E17D2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224FE"/>
    <w:rsid w:val="08F71A98"/>
    <w:rsid w:val="091255F9"/>
    <w:rsid w:val="14E9250C"/>
    <w:rsid w:val="22851F9A"/>
    <w:rsid w:val="35CD1307"/>
    <w:rsid w:val="4D502AF2"/>
    <w:rsid w:val="4D7C38E7"/>
    <w:rsid w:val="4F381A8F"/>
    <w:rsid w:val="565C2507"/>
    <w:rsid w:val="5A341302"/>
    <w:rsid w:val="77512E3F"/>
    <w:rsid w:val="7DC600E3"/>
    <w:rsid w:val="7FFC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2002</Words>
  <Characters>2150</Characters>
  <Lines>0</Lines>
  <Paragraphs>0</Paragraphs>
  <TotalTime>0</TotalTime>
  <ScaleCrop>false</ScaleCrop>
  <LinksUpToDate>false</LinksUpToDate>
  <CharactersWithSpaces>2260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2026-01-11T15:18:50Z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