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37B9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18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0F4CAE3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243"/>
      <w:r>
        <w:rPr>
          <w:rFonts w:hint="eastAsia"/>
          <w:lang w:val="en-US" w:eastAsia="zh-CN"/>
        </w:rPr>
        <w:t>客户满意度调查管理制度</w:t>
      </w:r>
      <w:bookmarkEnd w:id="1"/>
    </w:p>
    <w:p w14:paraId="6FFA508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6559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BEA1B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5B8177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5005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ACD49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3403C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268A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3D831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3A1D46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C8FDC5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70D2F6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3749E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34707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E3F85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A5EAB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6B0872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20567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7C6F99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24AEAB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FB3B2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E5763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2DC62A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3C6F7A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23E835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EDA777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452C0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C456A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CFB01F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2C68E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130CCE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1EF73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ACF2C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5B73CE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85541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F65CC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20BDB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0286E3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1A7AAF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B98CD92">
          <w:pPr>
            <w:pStyle w:val="16"/>
            <w:tabs>
              <w:tab w:val="right" w:leader="dot" w:pos="8306"/>
            </w:tabs>
          </w:pPr>
          <w:bookmarkStart w:id="27" w:name="_GoBack"/>
          <w:bookmarkEnd w:id="27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_Toc19181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D513C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客户满意度调查管理制度</w:t>
          </w:r>
          <w:r>
            <w:tab/>
          </w:r>
          <w:r>
            <w:fldChar w:fldCharType="begin"/>
          </w:r>
          <w:r>
            <w:instrText xml:space="preserve"> PAGEREF _Toc12243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E4EE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_Toc5712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8CB7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6B81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_Toc15265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91E1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_Toc25727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F5291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_Toc17720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54630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运维管理部经理</w:t>
          </w:r>
          <w:r>
            <w:tab/>
          </w:r>
          <w:r>
            <w:fldChar w:fldCharType="begin"/>
          </w:r>
          <w:r>
            <w:instrText xml:space="preserve"> PAGEREF _Toc21506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42D66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_Toc3064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2E01C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运维管理部</w:t>
          </w:r>
          <w:r>
            <w:tab/>
          </w:r>
          <w:r>
            <w:fldChar w:fldCharType="begin"/>
          </w:r>
          <w:r>
            <w:instrText xml:space="preserve"> PAGEREF _Toc4490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A65F3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质量效能部</w:t>
          </w:r>
          <w:r>
            <w:tab/>
          </w:r>
          <w:r>
            <w:fldChar w:fldCharType="begin"/>
          </w:r>
          <w:r>
            <w:instrText xml:space="preserve"> PAGEREF _Toc10534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A37D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_Toc5961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F7EC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_Toc25642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4550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客户满意度</w:t>
          </w:r>
          <w:r>
            <w:tab/>
          </w:r>
          <w:r>
            <w:fldChar w:fldCharType="begin"/>
          </w:r>
          <w:r>
            <w:instrText xml:space="preserve"> PAGEREF _Toc21790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1965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监视</w:t>
          </w:r>
          <w:r>
            <w:tab/>
          </w:r>
          <w:r>
            <w:fldChar w:fldCharType="begin"/>
          </w:r>
          <w:r>
            <w:instrText xml:space="preserve"> PAGEREF _Toc25391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FBCB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测量</w:t>
          </w:r>
          <w:r>
            <w:tab/>
          </w:r>
          <w:r>
            <w:fldChar w:fldCharType="begin"/>
          </w:r>
          <w:r>
            <w:instrText xml:space="preserve"> PAGEREF _Toc7970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8BEB7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_Toc24066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43D0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客户沟通管理</w:t>
          </w:r>
          <w:r>
            <w:tab/>
          </w:r>
          <w:r>
            <w:fldChar w:fldCharType="begin"/>
          </w:r>
          <w:r>
            <w:instrText xml:space="preserve"> PAGEREF _Toc6567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1614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客户满意度调查</w:t>
          </w:r>
          <w:r>
            <w:tab/>
          </w:r>
          <w:r>
            <w:fldChar w:fldCharType="begin"/>
          </w:r>
          <w:r>
            <w:instrText xml:space="preserve"> PAGEREF _Toc19611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9588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改进与验证</w:t>
          </w:r>
          <w:r>
            <w:tab/>
          </w:r>
          <w:r>
            <w:fldChar w:fldCharType="begin"/>
          </w:r>
          <w:r>
            <w:instrText xml:space="preserve"> PAGEREF _Toc22018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E4E6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_Toc5940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6C3E7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_Toc11995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5D49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_Toc15327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2DD5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_Toc10205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86033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9D9AD1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E7B436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5712"/>
      <w:r>
        <w:rPr>
          <w:rFonts w:hint="eastAsia"/>
          <w:lang w:val="en-US" w:eastAsia="zh-CN"/>
        </w:rPr>
        <w:t>总则</w:t>
      </w:r>
      <w:bookmarkEnd w:id="2"/>
    </w:p>
    <w:p w14:paraId="126E1EE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7446"/>
      <w:r>
        <w:rPr>
          <w:rFonts w:hint="eastAsia"/>
          <w:lang w:val="en-US" w:eastAsia="zh-CN"/>
        </w:rPr>
        <w:t>目的</w:t>
      </w:r>
      <w:bookmarkEnd w:id="3"/>
    </w:p>
    <w:p w14:paraId="582AB2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为系统化地监视、测量和分析客户对运维服务的满意程度，准确识别客户显性与潜在需求，科学评价公司管理体系的有效性，并为服务质量的持续改进提供决策依据，特制定本制度。</w:t>
      </w:r>
    </w:p>
    <w:p w14:paraId="018B11F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5265"/>
      <w:r>
        <w:rPr>
          <w:rFonts w:hint="eastAsia"/>
          <w:lang w:val="en-US" w:eastAsia="zh-CN"/>
        </w:rPr>
        <w:t>适用范围</w:t>
      </w:r>
      <w:bookmarkEnd w:id="4"/>
    </w:p>
    <w:p w14:paraId="0B6342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本制度适用于对公司运维服务管理体系运行中，客户满意程度的监视、测量、分析、评价及改进活动的全过程管理。</w:t>
      </w:r>
    </w:p>
    <w:p w14:paraId="7F9C32E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5727"/>
      <w:r>
        <w:rPr>
          <w:rFonts w:hint="eastAsia"/>
          <w:lang w:val="en-US" w:eastAsia="zh-CN"/>
        </w:rPr>
        <w:t>原则</w:t>
      </w:r>
      <w:bookmarkEnd w:id="5"/>
    </w:p>
    <w:p w14:paraId="049F05A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客观公正：基于事实和数据，确保收集的客户反馈真实、准确。</w:t>
      </w:r>
    </w:p>
    <w:p w14:paraId="66EA53F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持续改进：将客户满意度结果作为驱动服务质量持续提升的核心动力。</w:t>
      </w:r>
    </w:p>
    <w:p w14:paraId="71FB691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闭环管理：对客户反馈实施从收集、分析、改进到验证的全程跟踪。</w:t>
      </w:r>
    </w:p>
    <w:p w14:paraId="5232790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7720"/>
      <w:r>
        <w:rPr>
          <w:rFonts w:hint="eastAsia"/>
          <w:lang w:val="en-US" w:eastAsia="zh-CN"/>
        </w:rPr>
        <w:t>岗位职责</w:t>
      </w:r>
      <w:bookmarkEnd w:id="6"/>
    </w:p>
    <w:p w14:paraId="74DAF64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1506"/>
      <w:r>
        <w:rPr>
          <w:rFonts w:hint="eastAsia"/>
          <w:lang w:val="en-US" w:eastAsia="zh-CN"/>
        </w:rPr>
        <w:t>运维管理部经理</w:t>
      </w:r>
      <w:bookmarkEnd w:id="7"/>
    </w:p>
    <w:p w14:paraId="18E94F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负责策划并实施年度客户沟通计划；组织对客户沟通记录进行综合分析，形成报告；监督服务整改措施的落实与效果跟踪。</w:t>
      </w:r>
    </w:p>
    <w:p w14:paraId="7ADC6A9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064"/>
      <w:r>
        <w:rPr>
          <w:rFonts w:hint="eastAsia"/>
          <w:lang w:val="en-US" w:eastAsia="zh-CN"/>
        </w:rPr>
        <w:t>服务台专员</w:t>
      </w:r>
      <w:bookmarkEnd w:id="8"/>
    </w:p>
    <w:p w14:paraId="32B279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负责策划并组织实施客户满意度调查；收集、确认并分析客户满意度信息，编制分析报告；负责就改进事项与客户沟通，并跟踪验证实施效果。</w:t>
      </w:r>
    </w:p>
    <w:p w14:paraId="730CC20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4490"/>
      <w:r>
        <w:rPr>
          <w:rFonts w:hint="default"/>
          <w:lang w:val="en-US" w:eastAsia="zh-CN"/>
        </w:rPr>
        <w:t>运维管理部</w:t>
      </w:r>
      <w:bookmarkEnd w:id="9"/>
    </w:p>
    <w:p w14:paraId="63145C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负责配合进行客户反馈信息的分析与改进措施的实施；具体负责客户投诉的处理；负责保存与本部门相关的服务与沟通记录。</w:t>
      </w:r>
    </w:p>
    <w:p w14:paraId="70DAE0B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0534"/>
      <w:r>
        <w:rPr>
          <w:rFonts w:hint="default"/>
          <w:lang w:val="en-US" w:eastAsia="zh-CN"/>
        </w:rPr>
        <w:t>质量效能部</w:t>
      </w:r>
      <w:bookmarkEnd w:id="10"/>
    </w:p>
    <w:p w14:paraId="64EA2C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负责对本程序的执行情况进行监督，并归档保管全公司的客户满意度调查资料。</w:t>
      </w:r>
    </w:p>
    <w:p w14:paraId="2716EF1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5961"/>
      <w:r>
        <w:rPr>
          <w:rFonts w:hint="eastAsia"/>
          <w:lang w:val="en-US" w:eastAsia="zh-CN"/>
        </w:rPr>
        <w:t>引用依据</w:t>
      </w:r>
      <w:bookmarkEnd w:id="11"/>
    </w:p>
    <w:p w14:paraId="01F5252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19372B3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75D3F4A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78658E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25642"/>
      <w:r>
        <w:rPr>
          <w:rFonts w:hint="eastAsia"/>
          <w:lang w:val="en-US" w:eastAsia="zh-CN"/>
        </w:rPr>
        <w:t>定义与术语</w:t>
      </w:r>
      <w:bookmarkEnd w:id="12"/>
    </w:p>
    <w:p w14:paraId="31544E5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1790"/>
      <w:r>
        <w:rPr>
          <w:rFonts w:hint="eastAsia"/>
        </w:rPr>
        <w:t>客户满意度</w:t>
      </w:r>
      <w:bookmarkEnd w:id="13"/>
    </w:p>
    <w:p w14:paraId="70302E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客户对其要求已被满足的程度的感受。</w:t>
      </w:r>
    </w:p>
    <w:p w14:paraId="6BE9F29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5391"/>
      <w:r>
        <w:rPr>
          <w:rFonts w:hint="eastAsia"/>
        </w:rPr>
        <w:t>监视</w:t>
      </w:r>
      <w:bookmarkEnd w:id="14"/>
    </w:p>
    <w:p w14:paraId="6F1F35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确定体系、过程、服务或活动的状态。</w:t>
      </w:r>
    </w:p>
    <w:p w14:paraId="29CA52F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7970"/>
      <w:r>
        <w:rPr>
          <w:rFonts w:hint="eastAsia"/>
        </w:rPr>
        <w:t>测量</w:t>
      </w:r>
      <w:bookmarkEnd w:id="15"/>
    </w:p>
    <w:p w14:paraId="3CCCC9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确定数值的过程。</w:t>
      </w:r>
    </w:p>
    <w:p w14:paraId="33B068D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4066"/>
      <w:r>
        <w:rPr>
          <w:rFonts w:hint="eastAsia"/>
          <w:lang w:val="en-US" w:eastAsia="zh-CN"/>
        </w:rPr>
        <w:t>管理内容与要求</w:t>
      </w:r>
      <w:bookmarkEnd w:id="16"/>
    </w:p>
    <w:p w14:paraId="1C77938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6567"/>
      <w:r>
        <w:rPr>
          <w:rFonts w:hint="default"/>
          <w:lang w:val="en-US" w:eastAsia="zh-CN"/>
        </w:rPr>
        <w:t>客户沟通管理</w:t>
      </w:r>
      <w:bookmarkEnd w:id="17"/>
    </w:p>
    <w:p w14:paraId="111458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策划：运维管理部负责人需于每年初制定《年度客户沟通计划》，明确沟通对象、频率、方式及内容。全面沟通每半年不少于一次，采用走访或面谈形式；项目级沟通每季度进行1-2次，可采用电话、电子邮件等方式。</w:t>
      </w:r>
    </w:p>
    <w:p w14:paraId="1F4515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沟通实施与记录：按计划执行沟通，并详细记录沟通内容于《客户沟通记录》中。</w:t>
      </w:r>
    </w:p>
    <w:p w14:paraId="59845B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分析与改进：运维管理部负责人组织对沟通记录进行综合分析，编制《客户沟通分析报告》，并监督报告中确定的改进措施的落实与效果。</w:t>
      </w:r>
    </w:p>
    <w:p w14:paraId="7DD62BE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9611"/>
      <w:r>
        <w:rPr>
          <w:rFonts w:hint="default"/>
          <w:lang w:val="en-US" w:eastAsia="zh-CN"/>
        </w:rPr>
        <w:t>客户满意度调查</w:t>
      </w:r>
      <w:bookmarkEnd w:id="18"/>
    </w:p>
    <w:p w14:paraId="7FB69B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方案策划：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负责根据年度管理目标，制定《客户满意度调查方案》，明确调查项目、对象、方法、人员与时间安排，并设计《客户满意度调查表》。</w:t>
      </w:r>
    </w:p>
    <w:p w14:paraId="08A070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调查实施：按方案采用现场走访、电话访问、在线问卷等方式实施调查，确保在计划时间内完成并回收调查表。</w:t>
      </w:r>
    </w:p>
    <w:p w14:paraId="6B8D9A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统计分析：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对收集的数据进行多维分析，包括但不限于：</w:t>
      </w:r>
    </w:p>
    <w:p w14:paraId="72237E2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交叉分组分析：从不同客户群体中挖掘差异化的满意度表现。</w:t>
      </w:r>
    </w:p>
    <w:p w14:paraId="2A8D5C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图表与趋势分析：直观展示满意度均值、总体满意度与分项满意度情况，并与历史数据进行对比，识别趋势。</w:t>
      </w:r>
    </w:p>
    <w:p w14:paraId="73C375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满意度计算：采用加权平均法计算总体客户满意度。计算公式如下：</w:t>
      </w:r>
    </w:p>
    <w:p w14:paraId="2E8395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/>
            </w:rPr>
            <m:t>总体满意度</m:t>
          </m:r>
          <m:r>
            <m:rPr/>
            <w:rPr>
              <w:rFonts w:hint="default" w:ascii="Cambria Math"/>
            </w:rPr>
            <m:t>=∑(</m:t>
          </m:r>
          <m:r>
            <m:rPr>
              <m:sty m:val="p"/>
            </m:rPr>
            <w:rPr>
              <w:rFonts w:hint="default" w:ascii="Cambria Math"/>
            </w:rPr>
            <m:t>各调查项样本数×对应分值×权重</m:t>
          </m:r>
          <m:r>
            <m:rPr/>
            <w:rPr>
              <w:rFonts w:hint="default" w:ascii="Cambria Math"/>
            </w:rPr>
            <m:t>)/(</m:t>
          </m:r>
          <m:r>
            <m:rPr>
              <m:sty m:val="p"/>
            </m:rPr>
            <w:rPr>
              <w:rFonts w:hint="default" w:ascii="Cambria Math"/>
            </w:rPr>
            <m:t>样本总数×</m:t>
          </m:r>
          <m:r>
            <m:rPr/>
            <w:rPr>
              <w:rFonts w:hint="default" w:ascii="Cambria Math"/>
            </w:rPr>
            <m:t>100)</m:t>
          </m:r>
          <m:r>
            <m:rPr>
              <m:sty m:val="p"/>
            </m:rPr>
            <w:rPr>
              <w:rFonts w:hint="default" w:ascii="Cambria Math"/>
            </w:rPr>
            <m:t>×</m:t>
          </m:r>
          <m:r>
            <m:rPr/>
            <w:rPr>
              <w:rFonts w:hint="default" w:ascii="Cambria Math"/>
            </w:rPr>
            <m:t>100%</m:t>
          </m:r>
        </m:oMath>
      </m:oMathPara>
    </w:p>
    <w:p w14:paraId="17CA52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表4-1满意度调查维度及权重表</w:t>
      </w:r>
    </w:p>
    <w:tbl>
      <w:tblPr>
        <w:tblStyle w:val="39"/>
        <w:tblW w:w="8763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621"/>
        <w:gridCol w:w="490"/>
        <w:gridCol w:w="490"/>
        <w:gridCol w:w="489"/>
        <w:gridCol w:w="489"/>
        <w:gridCol w:w="619"/>
        <w:gridCol w:w="619"/>
        <w:gridCol w:w="619"/>
        <w:gridCol w:w="489"/>
        <w:gridCol w:w="686"/>
        <w:gridCol w:w="691"/>
        <w:gridCol w:w="619"/>
        <w:gridCol w:w="554"/>
        <w:gridCol w:w="491"/>
      </w:tblGrid>
      <w:tr w14:paraId="00866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797" w:type="dxa"/>
            <w:vMerge w:val="restart"/>
            <w:tcBorders>
              <w:bottom w:val="nil"/>
            </w:tcBorders>
            <w:textDirection w:val="tbRlV"/>
          </w:tcPr>
          <w:p w14:paraId="162E22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5" w:line="206" w:lineRule="auto"/>
              <w:ind w:left="55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项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目</w:t>
            </w:r>
          </w:p>
        </w:tc>
        <w:tc>
          <w:tcPr>
            <w:tcW w:w="4436" w:type="dxa"/>
            <w:gridSpan w:val="8"/>
          </w:tcPr>
          <w:p w14:paraId="7E0211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82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485" w:type="dxa"/>
            <w:gridSpan w:val="4"/>
          </w:tcPr>
          <w:p w14:paraId="262716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33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554" w:type="dxa"/>
            <w:vMerge w:val="restart"/>
            <w:tcBorders>
              <w:bottom w:val="nil"/>
            </w:tcBorders>
            <w:textDirection w:val="tbRlV"/>
          </w:tcPr>
          <w:p w14:paraId="35C5D0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08" w:lineRule="auto"/>
              <w:ind w:left="320"/>
              <w:jc w:val="center"/>
              <w:textAlignment w:val="baseline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38"/>
                <w:sz w:val="18"/>
                <w:szCs w:val="18"/>
              </w:rPr>
              <w:t>备件</w:t>
            </w:r>
            <w:r>
              <w:rPr>
                <w:rFonts w:hint="eastAsia" w:ascii="宋体" w:hAnsi="宋体" w:eastAsia="宋体" w:cs="宋体"/>
                <w:b/>
                <w:bCs/>
                <w:spacing w:val="38"/>
                <w:sz w:val="18"/>
                <w:szCs w:val="18"/>
                <w:lang w:val="en-US" w:eastAsia="zh-CN"/>
              </w:rPr>
              <w:t>供应</w:t>
            </w:r>
          </w:p>
        </w:tc>
        <w:tc>
          <w:tcPr>
            <w:tcW w:w="491" w:type="dxa"/>
            <w:vMerge w:val="restart"/>
            <w:tcBorders>
              <w:bottom w:val="nil"/>
            </w:tcBorders>
            <w:textDirection w:val="tbRlV"/>
          </w:tcPr>
          <w:p w14:paraId="357853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47" w:line="208" w:lineRule="auto"/>
              <w:ind w:left="55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24"/>
                <w:sz w:val="18"/>
                <w:szCs w:val="18"/>
              </w:rPr>
              <w:t>培训</w:t>
            </w:r>
          </w:p>
        </w:tc>
      </w:tr>
      <w:tr w14:paraId="58E1E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3" w:hRule="atLeast"/>
        </w:trPr>
        <w:tc>
          <w:tcPr>
            <w:tcW w:w="797" w:type="dxa"/>
            <w:vMerge w:val="continue"/>
            <w:tcBorders>
              <w:top w:val="nil"/>
            </w:tcBorders>
            <w:textDirection w:val="tbRlV"/>
          </w:tcPr>
          <w:p w14:paraId="062284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21" w:type="dxa"/>
          </w:tcPr>
          <w:p w14:paraId="1AA5DA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29" w:right="12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专业技术</w:t>
            </w:r>
          </w:p>
        </w:tc>
        <w:tc>
          <w:tcPr>
            <w:tcW w:w="490" w:type="dxa"/>
            <w:textDirection w:val="tbRlV"/>
          </w:tcPr>
          <w:p w14:paraId="0AF92E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3" w:line="204" w:lineRule="auto"/>
              <w:ind w:left="21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490" w:type="dxa"/>
            <w:textDirection w:val="tbRlV"/>
          </w:tcPr>
          <w:p w14:paraId="61C4F6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软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 w14:paraId="5CD8A8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0" w:line="209" w:lineRule="auto"/>
              <w:ind w:left="21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硬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 w14:paraId="67DDF2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安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全</w:t>
            </w:r>
          </w:p>
        </w:tc>
        <w:tc>
          <w:tcPr>
            <w:tcW w:w="619" w:type="dxa"/>
          </w:tcPr>
          <w:p w14:paraId="524916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4" w:right="125" w:hanging="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运维</w:t>
            </w:r>
            <w:r>
              <w:rPr>
                <w:rFonts w:ascii="宋体" w:hAnsi="宋体" w:eastAsia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19" w:type="dxa"/>
          </w:tcPr>
          <w:p w14:paraId="0ED518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2" w:lineRule="auto"/>
              <w:ind w:left="129" w:right="124" w:firstLine="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19" w:type="dxa"/>
          </w:tcPr>
          <w:p w14:paraId="07591B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9" w:right="123" w:hanging="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热线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489" w:type="dxa"/>
            <w:textDirection w:val="tbRlV"/>
          </w:tcPr>
          <w:p w14:paraId="2937B8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48" w:line="209" w:lineRule="auto"/>
              <w:ind w:left="21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态</w:t>
            </w:r>
            <w:r>
              <w:rPr>
                <w:rFonts w:ascii="宋体" w:hAnsi="宋体" w:eastAsia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度</w:t>
            </w:r>
          </w:p>
        </w:tc>
        <w:tc>
          <w:tcPr>
            <w:tcW w:w="686" w:type="dxa"/>
          </w:tcPr>
          <w:p w14:paraId="144FA3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3" w:line="222" w:lineRule="auto"/>
              <w:ind w:left="17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 w14:paraId="7DFD79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15" w:line="270" w:lineRule="auto"/>
              <w:ind w:left="259" w:right="155" w:hanging="9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及时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性</w:t>
            </w:r>
          </w:p>
        </w:tc>
        <w:tc>
          <w:tcPr>
            <w:tcW w:w="691" w:type="dxa"/>
          </w:tcPr>
          <w:p w14:paraId="4C2832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 w14:paraId="61A731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17" w:line="270" w:lineRule="auto"/>
              <w:ind w:left="258" w:right="157" w:hanging="7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19" w:type="dxa"/>
          </w:tcPr>
          <w:p w14:paraId="45B70C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4" w:lineRule="auto"/>
              <w:ind w:left="136" w:right="120" w:firstLine="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行为</w:t>
            </w: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554" w:type="dxa"/>
            <w:vMerge w:val="continue"/>
            <w:tcBorders>
              <w:top w:val="nil"/>
            </w:tcBorders>
            <w:textDirection w:val="tbRlV"/>
          </w:tcPr>
          <w:p w14:paraId="03A1B09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91" w:type="dxa"/>
            <w:vMerge w:val="continue"/>
            <w:tcBorders>
              <w:top w:val="nil"/>
            </w:tcBorders>
            <w:textDirection w:val="tbRlV"/>
          </w:tcPr>
          <w:p w14:paraId="254614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FA597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76E23F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 w:line="220" w:lineRule="auto"/>
              <w:jc w:val="right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29"/>
                <w:sz w:val="18"/>
                <w:szCs w:val="18"/>
              </w:rPr>
              <w:t>权数（%）</w:t>
            </w:r>
          </w:p>
        </w:tc>
        <w:tc>
          <w:tcPr>
            <w:tcW w:w="621" w:type="dxa"/>
          </w:tcPr>
          <w:p w14:paraId="28F959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3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0" w:type="dxa"/>
          </w:tcPr>
          <w:p w14:paraId="7326B7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90" w:type="dxa"/>
          </w:tcPr>
          <w:p w14:paraId="4FA7C5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 w14:paraId="6095A3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 w14:paraId="6C5F51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 w14:paraId="114B57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7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 w14:paraId="3DAD6F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7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 w14:paraId="5F8050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6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489" w:type="dxa"/>
          </w:tcPr>
          <w:p w14:paraId="67741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686" w:type="dxa"/>
          </w:tcPr>
          <w:p w14:paraId="3FD8E7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30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691" w:type="dxa"/>
          </w:tcPr>
          <w:p w14:paraId="223FA2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30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619" w:type="dxa"/>
          </w:tcPr>
          <w:p w14:paraId="62C9E0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7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554" w:type="dxa"/>
          </w:tcPr>
          <w:p w14:paraId="12BF3A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1" w:type="dxa"/>
          </w:tcPr>
          <w:p w14:paraId="7D2C91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17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10</w:t>
            </w:r>
          </w:p>
        </w:tc>
      </w:tr>
      <w:tr w14:paraId="78551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0B498F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21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21" w:type="dxa"/>
          </w:tcPr>
          <w:p w14:paraId="2F4A0E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8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 w14:paraId="79D16B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 w14:paraId="5C30AD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 w14:paraId="7BFE2A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 w14:paraId="69B1E5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128FCF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8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62357D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9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27BA45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9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 w14:paraId="684586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86" w:type="dxa"/>
          </w:tcPr>
          <w:p w14:paraId="0A2485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22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91" w:type="dxa"/>
          </w:tcPr>
          <w:p w14:paraId="5352E3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22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 w14:paraId="5D0E26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9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554" w:type="dxa"/>
          </w:tcPr>
          <w:p w14:paraId="6ACD17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6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1" w:type="dxa"/>
          </w:tcPr>
          <w:p w14:paraId="1BABC7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100</w:t>
            </w:r>
          </w:p>
        </w:tc>
      </w:tr>
      <w:tr w14:paraId="6404E4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64B9E1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2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较满意</w:t>
            </w:r>
          </w:p>
        </w:tc>
        <w:tc>
          <w:tcPr>
            <w:tcW w:w="621" w:type="dxa"/>
          </w:tcPr>
          <w:p w14:paraId="32C99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1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 w14:paraId="7AE243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 w14:paraId="62B3A1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 w14:paraId="4C8ADA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 w14:paraId="221269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209991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6DA8F7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72972C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 w14:paraId="0EECBB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86" w:type="dxa"/>
          </w:tcPr>
          <w:p w14:paraId="4C2E07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5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91" w:type="dxa"/>
          </w:tcPr>
          <w:p w14:paraId="32C5B4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6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 w14:paraId="28DB8C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554" w:type="dxa"/>
          </w:tcPr>
          <w:p w14:paraId="519874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9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1" w:type="dxa"/>
          </w:tcPr>
          <w:p w14:paraId="2A7CA3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6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90</w:t>
            </w:r>
          </w:p>
        </w:tc>
      </w:tr>
      <w:tr w14:paraId="5E4B4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3A6D95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 w:line="221" w:lineRule="auto"/>
              <w:ind w:left="22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21" w:type="dxa"/>
          </w:tcPr>
          <w:p w14:paraId="193C8B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 w14:paraId="1A39B5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 w14:paraId="2D26DC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 w14:paraId="692910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 w14:paraId="2DCBAE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198A74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036E16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6EF62F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 w14:paraId="10751F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6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86" w:type="dxa"/>
          </w:tcPr>
          <w:p w14:paraId="4AA779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6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91" w:type="dxa"/>
          </w:tcPr>
          <w:p w14:paraId="454F54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6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 w14:paraId="3CDF40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3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554" w:type="dxa"/>
          </w:tcPr>
          <w:p w14:paraId="433C2A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9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1" w:type="dxa"/>
          </w:tcPr>
          <w:p w14:paraId="266733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6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70</w:t>
            </w:r>
          </w:p>
        </w:tc>
      </w:tr>
      <w:tr w14:paraId="4769C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797" w:type="dxa"/>
          </w:tcPr>
          <w:p w14:paraId="6B821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 w:line="220" w:lineRule="auto"/>
              <w:ind w:left="13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21" w:type="dxa"/>
          </w:tcPr>
          <w:p w14:paraId="3BDBE2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 w14:paraId="297725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 w14:paraId="77F462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 w14:paraId="7A384A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 w14:paraId="53AA14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5CDA51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74162F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51A07F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 w14:paraId="794EA0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14:paraId="523E57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303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91" w:type="dxa"/>
          </w:tcPr>
          <w:p w14:paraId="6DC5BA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30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 w14:paraId="50E215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7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554" w:type="dxa"/>
          </w:tcPr>
          <w:p w14:paraId="2557A3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40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  <w:tc>
          <w:tcPr>
            <w:tcW w:w="491" w:type="dxa"/>
          </w:tcPr>
          <w:p w14:paraId="37E1BB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7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0</w:t>
            </w:r>
          </w:p>
        </w:tc>
      </w:tr>
      <w:tr w14:paraId="72AF92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797" w:type="dxa"/>
          </w:tcPr>
          <w:p w14:paraId="65EF9C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1" w:line="295" w:lineRule="auto"/>
              <w:ind w:left="312" w:right="125" w:hanging="18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18"/>
                <w:szCs w:val="18"/>
              </w:rPr>
              <w:t>很不满</w:t>
            </w:r>
            <w:r>
              <w:rPr>
                <w:rFonts w:ascii="宋体" w:hAnsi="宋体" w:eastAsia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21" w:type="dxa"/>
          </w:tcPr>
          <w:p w14:paraId="4AEF43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 w14:paraId="52A4E0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 w14:paraId="1D7D03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 w14:paraId="653550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 w14:paraId="2464C2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2D2B93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3AFBB5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5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37DA79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6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 w14:paraId="313AF2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12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86" w:type="dxa"/>
          </w:tcPr>
          <w:p w14:paraId="32ED0B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211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91" w:type="dxa"/>
          </w:tcPr>
          <w:p w14:paraId="4FAFD5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21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 w14:paraId="433EC9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9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554" w:type="dxa"/>
          </w:tcPr>
          <w:p w14:paraId="5D1CD0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48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1" w:type="dxa"/>
          </w:tcPr>
          <w:p w14:paraId="1C750C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14"/>
              <w:textAlignment w:val="baseline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-10</w:t>
            </w:r>
          </w:p>
        </w:tc>
      </w:tr>
    </w:tbl>
    <w:p w14:paraId="0CE73B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43FEDE6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2018"/>
      <w:r>
        <w:rPr>
          <w:rFonts w:hint="default"/>
          <w:lang w:val="en-US" w:eastAsia="zh-CN"/>
        </w:rPr>
        <w:t>改进与验证</w:t>
      </w:r>
      <w:bookmarkEnd w:id="19"/>
    </w:p>
    <w:p w14:paraId="79D42D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报告编制：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基于统计分析结果，编制《客户满意度分析报告》，评估优劣，识别改进机会。</w:t>
      </w:r>
    </w:p>
    <w:p w14:paraId="5476DC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措施制定与实施：报告应提交至管理层，并分发至相关责任部门。责任部门需对报告中指出的问题分析根本原因，制定并实施纠正与预防措施。</w:t>
      </w:r>
    </w:p>
    <w:p w14:paraId="327A90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效果跟踪：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及运维管理部经理负责对改进措施的实施效果进行跟踪验证，确保问题得到有效解决，形成管理闭环。</w:t>
      </w:r>
    </w:p>
    <w:p w14:paraId="7C391D1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5940"/>
      <w:r>
        <w:rPr>
          <w:rFonts w:hint="eastAsia"/>
          <w:lang w:val="en-US" w:eastAsia="zh-CN"/>
        </w:rPr>
        <w:t>考核指标</w:t>
      </w:r>
      <w:bookmarkEnd w:id="20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265"/>
        <w:gridCol w:w="996"/>
        <w:gridCol w:w="2131"/>
      </w:tblGrid>
      <w:tr w14:paraId="7AF2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0CE4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265" w:type="dxa"/>
          </w:tcPr>
          <w:p w14:paraId="27EB71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996" w:type="dxa"/>
          </w:tcPr>
          <w:p w14:paraId="4C719B7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频次</w:t>
            </w:r>
          </w:p>
        </w:tc>
        <w:tc>
          <w:tcPr>
            <w:tcW w:w="2131" w:type="dxa"/>
          </w:tcPr>
          <w:p w14:paraId="497F85C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</w:tr>
      <w:tr w14:paraId="62B66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DADA8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总体满意度</w:t>
            </w:r>
          </w:p>
        </w:tc>
        <w:tc>
          <w:tcPr>
            <w:tcW w:w="3265" w:type="dxa"/>
          </w:tcPr>
          <w:p w14:paraId="6250952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∑（样本数*对应分值*权重）/（样本总数*100）*100%</w:t>
            </w:r>
          </w:p>
        </w:tc>
        <w:tc>
          <w:tcPr>
            <w:tcW w:w="996" w:type="dxa"/>
          </w:tcPr>
          <w:p w14:paraId="43CC96A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2131" w:type="dxa"/>
          </w:tcPr>
          <w:p w14:paraId="7933EB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≥90%</w:t>
            </w:r>
          </w:p>
        </w:tc>
      </w:tr>
    </w:tbl>
    <w:p w14:paraId="77F386F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1" w:name="bookmark3"/>
      <w:bookmarkEnd w:id="21"/>
      <w:bookmarkStart w:id="22" w:name="_Toc17424"/>
      <w:bookmarkStart w:id="23" w:name="_Toc11995"/>
      <w:r>
        <w:rPr>
          <w:rStyle w:val="38"/>
          <w:rFonts w:hint="eastAsia" w:eastAsia="宋体"/>
          <w:lang w:val="en-US" w:eastAsia="zh-CN"/>
        </w:rPr>
        <w:t>附则</w:t>
      </w:r>
      <w:bookmarkEnd w:id="22"/>
      <w:bookmarkEnd w:id="23"/>
    </w:p>
    <w:p w14:paraId="6901A9C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质量效能部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D83DDEF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D30466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bookmark14"/>
      <w:bookmarkEnd w:id="24"/>
      <w:bookmarkStart w:id="25" w:name="_Toc15327"/>
      <w:r>
        <w:rPr>
          <w:rFonts w:hint="eastAsia"/>
          <w:lang w:val="en-US" w:eastAsia="zh-CN"/>
        </w:rPr>
        <w:t>附件</w:t>
      </w:r>
      <w:bookmarkEnd w:id="25"/>
    </w:p>
    <w:p w14:paraId="0A22CD34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《客户满意度调查表》</w:t>
      </w:r>
    </w:p>
    <w:p w14:paraId="21E4C0CD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《年度客户沟通计划》（模板）</w:t>
      </w:r>
    </w:p>
    <w:p w14:paraId="056189FA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《客户沟通记录表》</w:t>
      </w:r>
    </w:p>
    <w:p w14:paraId="5E5479E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10205"/>
      <w:r>
        <w:rPr>
          <w:rFonts w:hint="eastAsia"/>
          <w:lang w:val="en-US" w:eastAsia="zh-CN"/>
        </w:rPr>
        <w:t>记录</w:t>
      </w:r>
      <w:bookmarkEnd w:id="26"/>
    </w:p>
    <w:p w14:paraId="45832EAD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《客户满意度调查表》</w:t>
      </w:r>
    </w:p>
    <w:p w14:paraId="06336F33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《客户满意度分析报告》</w:t>
      </w:r>
    </w:p>
    <w:p w14:paraId="69C4A7F2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《年度客户沟通计划》</w:t>
      </w:r>
    </w:p>
    <w:p w14:paraId="6CE667A0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《客户沟通记录》</w:t>
      </w:r>
    </w:p>
    <w:p w14:paraId="76E0A0BC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《客户沟通分析报告》</w:t>
      </w:r>
    </w:p>
    <w:p w14:paraId="187097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所有记录由客服管理部及相关执行部门保存，定期移交质量效能部统一归档，保存期限不少于3年。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6E18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8837AC"/>
    <w:multiLevelType w:val="singleLevel"/>
    <w:tmpl w:val="B28837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3B8755F"/>
    <w:multiLevelType w:val="singleLevel"/>
    <w:tmpl w:val="C3B875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F641A9F"/>
    <w:multiLevelType w:val="singleLevel"/>
    <w:tmpl w:val="DF641A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F132AB3"/>
    <w:multiLevelType w:val="singleLevel"/>
    <w:tmpl w:val="6F132A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6B7036"/>
    <w:rsid w:val="08FA6E92"/>
    <w:rsid w:val="0F2E7896"/>
    <w:rsid w:val="41274C52"/>
    <w:rsid w:val="4DFB4E36"/>
    <w:rsid w:val="502A26AC"/>
    <w:rsid w:val="68B03FED"/>
    <w:rsid w:val="6B395D51"/>
    <w:rsid w:val="719E357C"/>
    <w:rsid w:val="73F8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1867</Words>
  <Characters>2109</Characters>
  <Lines>0</Lines>
  <Paragraphs>0</Paragraphs>
  <TotalTime>0</TotalTime>
  <ScaleCrop>false</ScaleCrop>
  <LinksUpToDate>false</LinksUpToDate>
  <CharactersWithSpaces>2214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2026-01-11T15:23:19Z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