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5E3B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4303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28EF0F3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4225"/>
      <w:r>
        <w:rPr>
          <w:rFonts w:hint="eastAsia"/>
          <w:lang w:val="en-US" w:eastAsia="zh-CN"/>
        </w:rPr>
        <w:t>人员绩效考核管理制度</w:t>
      </w:r>
      <w:bookmarkEnd w:id="1"/>
    </w:p>
    <w:p w14:paraId="52011DD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bookmarkStart w:id="39" w:name="_GoBack"/>
      <w:bookmarkEnd w:id="39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7618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DFE47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48B906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FCB3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3462A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5557A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A37C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D642A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3FAF06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9191C7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24BA1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2C03F4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46DF1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92BC6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E6BFC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244B08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0A831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7C2187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3F1881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B62A1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62FBC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52DECE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D8447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3954E5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E83616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9CC3A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3EA93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6" w:hRule="atLeast"/>
          <w:jc w:val="center"/>
        </w:trPr>
        <w:tc>
          <w:tcPr>
            <w:tcW w:w="2689" w:type="dxa"/>
          </w:tcPr>
          <w:p w14:paraId="4D5559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CE583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BCBD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FFDF18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ACAFA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33932D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3C63C1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9F054C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6AA534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9C19C0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FD53C7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A060DB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_Toc4303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C1C56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人员绩效考核管理制度</w:t>
          </w:r>
          <w:r>
            <w:tab/>
          </w:r>
          <w:r>
            <w:fldChar w:fldCharType="begin"/>
          </w:r>
          <w:r>
            <w:instrText xml:space="preserve"> PAGEREF _Toc24225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AC51E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_Toc7276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A0AE1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_Toc26034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E994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_Toc22687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66E7A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_Toc20365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94868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_Toc2002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307EC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1.4.1. </w:t>
          </w:r>
          <w:r>
            <w:rPr>
              <w:rFonts w:hint="eastAsia"/>
              <w:lang w:eastAsia="zh-CN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_Toc9027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E1A75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1.4.2. 各部门负责人</w:t>
          </w:r>
          <w:r>
            <w:tab/>
          </w:r>
          <w:r>
            <w:fldChar w:fldCharType="begin"/>
          </w:r>
          <w:r>
            <w:instrText xml:space="preserve"> PAGEREF _Toc29153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FDF4A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_Toc6693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83992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_Toc16432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5B3B0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绩效考核</w:t>
          </w:r>
          <w:r>
            <w:tab/>
          </w:r>
          <w:r>
            <w:fldChar w:fldCharType="begin"/>
          </w:r>
          <w:r>
            <w:instrText xml:space="preserve"> PAGEREF _Toc8182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8D70C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3.2. 绩效工资</w:t>
          </w:r>
          <w:r>
            <w:tab/>
          </w:r>
          <w:r>
            <w:fldChar w:fldCharType="begin"/>
          </w:r>
          <w:r>
            <w:instrText xml:space="preserve"> PAGEREF _Toc16292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805DB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3.3. 强制分布</w:t>
          </w:r>
          <w:r>
            <w:tab/>
          </w:r>
          <w:r>
            <w:fldChar w:fldCharType="begin"/>
          </w:r>
          <w:r>
            <w:instrText xml:space="preserve"> PAGEREF _Toc17803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76CA1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_Toc24372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02AC7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考核周期与方式</w:t>
          </w:r>
          <w:r>
            <w:tab/>
          </w:r>
          <w:r>
            <w:fldChar w:fldCharType="begin"/>
          </w:r>
          <w:r>
            <w:instrText xml:space="preserve"> PAGEREF _Toc16782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A73A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考核标准</w:t>
          </w:r>
          <w:r>
            <w:tab/>
          </w:r>
          <w:r>
            <w:fldChar w:fldCharType="begin"/>
          </w:r>
          <w:r>
            <w:instrText xml:space="preserve"> PAGEREF _Toc14379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23CC0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rPr>
              <w:rFonts w:hint="eastAsia"/>
            </w:rPr>
            <w:t>管理</w:t>
          </w:r>
          <w:r>
            <w:rPr>
              <w:rFonts w:hint="eastAsia"/>
              <w:lang w:val="en-US" w:eastAsia="zh-CN"/>
            </w:rPr>
            <w:t>岗</w:t>
          </w:r>
          <w:r>
            <w:rPr>
              <w:rFonts w:hint="eastAsia"/>
            </w:rPr>
            <w:t>考评</w:t>
          </w:r>
          <w:r>
            <w:tab/>
          </w:r>
          <w:r>
            <w:fldChar w:fldCharType="begin"/>
          </w:r>
          <w:r>
            <w:instrText xml:space="preserve"> PAGEREF _Toc14406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E7A92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rPr>
              <w:rFonts w:hint="eastAsia"/>
              <w:lang w:val="en-US" w:eastAsia="zh-CN"/>
            </w:rPr>
            <w:t>技术岗</w:t>
          </w:r>
          <w:r>
            <w:rPr>
              <w:rFonts w:hint="eastAsia"/>
            </w:rPr>
            <w:t>考评</w:t>
          </w:r>
          <w:r>
            <w:tab/>
          </w:r>
          <w:r>
            <w:fldChar w:fldCharType="begin"/>
          </w:r>
          <w:r>
            <w:instrText xml:space="preserve"> PAGEREF _Toc5458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017C9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4.2.3. </w:t>
          </w:r>
          <w:r>
            <w:rPr>
              <w:rFonts w:hint="eastAsia"/>
              <w:lang w:val="en-US" w:eastAsia="zh-CN"/>
            </w:rPr>
            <w:t>操作岗</w:t>
          </w:r>
          <w:r>
            <w:rPr>
              <w:rFonts w:hint="eastAsia"/>
            </w:rPr>
            <w:t>考评</w:t>
          </w:r>
          <w:r>
            <w:tab/>
          </w:r>
          <w:r>
            <w:fldChar w:fldCharType="begin"/>
          </w:r>
          <w:r>
            <w:instrText xml:space="preserve"> PAGEREF _Toc2693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FCBC7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4.2.4. </w:t>
          </w:r>
          <w:r>
            <w:rPr>
              <w:rFonts w:hint="eastAsia"/>
              <w:lang w:val="en-US" w:eastAsia="zh-CN"/>
            </w:rPr>
            <w:t>非管理岗</w:t>
          </w:r>
          <w:r>
            <w:rPr>
              <w:rFonts w:hint="eastAsia"/>
            </w:rPr>
            <w:t>绩效考核</w:t>
          </w:r>
          <w:r>
            <w:rPr>
              <w:rFonts w:hint="eastAsia"/>
              <w:lang w:val="en-US" w:eastAsia="zh-CN"/>
            </w:rPr>
            <w:t>标准</w:t>
          </w:r>
          <w:r>
            <w:tab/>
          </w:r>
          <w:r>
            <w:fldChar w:fldCharType="begin"/>
          </w:r>
          <w:r>
            <w:instrText xml:space="preserve"> PAGEREF _Toc22685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01E0D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4.2.5. </w:t>
          </w:r>
          <w:r>
            <w:rPr>
              <w:rFonts w:hint="eastAsia"/>
              <w:lang w:val="en-US" w:eastAsia="zh-CN"/>
            </w:rPr>
            <w:t>管理岗</w:t>
          </w:r>
          <w:r>
            <w:rPr>
              <w:rFonts w:hint="eastAsia"/>
            </w:rPr>
            <w:t>绩效考核</w:t>
          </w:r>
          <w:r>
            <w:rPr>
              <w:rFonts w:hint="eastAsia"/>
              <w:lang w:val="en-US" w:eastAsia="zh-CN"/>
            </w:rPr>
            <w:t>标准</w:t>
          </w:r>
          <w:r>
            <w:tab/>
          </w:r>
          <w:r>
            <w:fldChar w:fldCharType="begin"/>
          </w:r>
          <w:r>
            <w:instrText xml:space="preserve"> PAGEREF _Toc11568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BD824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考核等级与系数</w:t>
          </w:r>
          <w:r>
            <w:tab/>
          </w:r>
          <w:r>
            <w:fldChar w:fldCharType="begin"/>
          </w:r>
          <w:r>
            <w:instrText xml:space="preserve"> PAGEREF _Toc23315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9F474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绩效工资核算</w:t>
          </w:r>
          <w:r>
            <w:tab/>
          </w:r>
          <w:r>
            <w:fldChar w:fldCharType="begin"/>
          </w:r>
          <w:r>
            <w:instrText xml:space="preserve"> PAGEREF _Toc22024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2A10A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考核流程</w:t>
          </w:r>
          <w:r>
            <w:tab/>
          </w:r>
          <w:r>
            <w:fldChar w:fldCharType="begin"/>
          </w:r>
          <w:r>
            <w:instrText xml:space="preserve"> PAGEREF _Toc254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8DD35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绩效面谈与改进</w:t>
          </w:r>
          <w:r>
            <w:tab/>
          </w:r>
          <w:r>
            <w:fldChar w:fldCharType="begin"/>
          </w:r>
          <w:r>
            <w:instrText xml:space="preserve"> PAGEREF _Toc28559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3A359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 </w:t>
          </w:r>
          <w:r>
            <w:rPr>
              <w:rFonts w:hint="eastAsia"/>
              <w:lang w:val="en-US" w:eastAsia="zh-CN"/>
            </w:rPr>
            <w:t>考核结果应用</w:t>
          </w:r>
          <w:r>
            <w:tab/>
          </w:r>
          <w:r>
            <w:fldChar w:fldCharType="begin"/>
          </w:r>
          <w:r>
            <w:instrText xml:space="preserve"> PAGEREF _Toc19632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CF3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 </w:t>
          </w:r>
          <w:r>
            <w:rPr>
              <w:rFonts w:hint="eastAsia"/>
              <w:lang w:val="en-US" w:eastAsia="zh-CN"/>
            </w:rPr>
            <w:t>绩效考核申诉</w:t>
          </w:r>
          <w:r>
            <w:tab/>
          </w:r>
          <w:r>
            <w:fldChar w:fldCharType="begin"/>
          </w:r>
          <w:r>
            <w:instrText xml:space="preserve"> PAGEREF _Toc5442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1B7C5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4.9.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_Toc19550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87E89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_Toc8834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70960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_Toc25567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32841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_Toc29149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3E90B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1FDAC9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B0E1DB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7276"/>
      <w:r>
        <w:rPr>
          <w:rFonts w:hint="eastAsia"/>
          <w:lang w:val="en-US" w:eastAsia="zh-CN"/>
        </w:rPr>
        <w:t>总则</w:t>
      </w:r>
      <w:bookmarkEnd w:id="2"/>
    </w:p>
    <w:p w14:paraId="6776A03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6034"/>
      <w:bookmarkStart w:id="4" w:name="_Toc12049"/>
      <w:r>
        <w:rPr>
          <w:rFonts w:hint="eastAsia"/>
          <w:lang w:val="en-US" w:eastAsia="zh-CN"/>
        </w:rPr>
        <w:t>目的</w:t>
      </w:r>
      <w:bookmarkEnd w:id="3"/>
      <w:bookmarkEnd w:id="4"/>
    </w:p>
    <w:p w14:paraId="626F284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为建立并完善公司技术人员的绩效管理体系，客观评价员工工作表现，激发员工潜能，提升组织整体效能，确保公司战略目标的实现，特制定本制度。</w:t>
      </w:r>
    </w:p>
    <w:p w14:paraId="44F3125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2687"/>
      <w:r>
        <w:rPr>
          <w:rFonts w:hint="eastAsia"/>
          <w:lang w:val="en-US" w:eastAsia="zh-CN"/>
        </w:rPr>
        <w:t>适用范围</w:t>
      </w:r>
      <w:bookmarkEnd w:id="5"/>
    </w:p>
    <w:p w14:paraId="4F3DE0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本制度适用于公司运维管理部、质量效能部、研发部等所有技术岗位的已转正员工。试用期员工依据《新员工试用期考核管理办法》执行。</w:t>
      </w:r>
    </w:p>
    <w:p w14:paraId="7044488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0365"/>
      <w:r>
        <w:rPr>
          <w:rFonts w:hint="eastAsia"/>
          <w:lang w:val="en-US" w:eastAsia="zh-CN"/>
        </w:rPr>
        <w:t>原则</w:t>
      </w:r>
      <w:bookmarkEnd w:id="6"/>
    </w:p>
    <w:p w14:paraId="417D893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本制度遵循以下基本原则：</w:t>
      </w:r>
    </w:p>
    <w:p w14:paraId="66CA43E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default"/>
        </w:rPr>
        <w:t>客观公正原则：考核以事实和数据为依据，避免主观臆断。</w:t>
      </w:r>
    </w:p>
    <w:p w14:paraId="3297CB5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default"/>
        </w:rPr>
        <w:t>目标导向原则：考核内容围绕核心职责与关键任务展开。</w:t>
      </w:r>
    </w:p>
    <w:p w14:paraId="3E4FA9D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default"/>
        </w:rPr>
        <w:t>沟通反馈原则：考核结果须及时反馈，并作为绩效面谈与改进的基础。</w:t>
      </w:r>
    </w:p>
    <w:p w14:paraId="4FE6797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default"/>
        </w:rPr>
        <w:t>结果应用原则：考核结果与薪酬、晋升、培训等激励机制紧密挂钩。</w:t>
      </w:r>
    </w:p>
    <w:p w14:paraId="40AA729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002"/>
      <w:r>
        <w:rPr>
          <w:rFonts w:hint="eastAsia"/>
          <w:lang w:val="en-US" w:eastAsia="zh-CN"/>
        </w:rPr>
        <w:t>岗位职责</w:t>
      </w:r>
      <w:bookmarkEnd w:id="7"/>
    </w:p>
    <w:p w14:paraId="736E9B5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8" w:name="_Toc9027"/>
      <w:r>
        <w:rPr>
          <w:rFonts w:hint="eastAsia"/>
          <w:lang w:eastAsia="zh-CN"/>
        </w:rPr>
        <w:t>人力资源部</w:t>
      </w:r>
      <w:bookmarkEnd w:id="8"/>
    </w:p>
    <w:p w14:paraId="65A8EEC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负责本制度的制定、修订、解释与推行；提供考核工具与方法支持；监督考核过程的规范性；受理考核申诉。</w:t>
      </w:r>
    </w:p>
    <w:p w14:paraId="4538AC7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9" w:name="_Toc29153"/>
      <w:r>
        <w:rPr>
          <w:rFonts w:hint="default"/>
        </w:rPr>
        <w:t>各部门负责人</w:t>
      </w:r>
      <w:bookmarkEnd w:id="9"/>
    </w:p>
    <w:p w14:paraId="2C432D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负责本部门考核工作的组织实施，审核考核结果，指导绩效面谈与改进。</w:t>
      </w:r>
    </w:p>
    <w:p w14:paraId="0439F76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6693"/>
      <w:r>
        <w:rPr>
          <w:rFonts w:hint="eastAsia"/>
          <w:lang w:val="en-US" w:eastAsia="zh-CN"/>
        </w:rPr>
        <w:t>引用依据</w:t>
      </w:r>
      <w:bookmarkEnd w:id="10"/>
    </w:p>
    <w:p w14:paraId="4ED66593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 w14:paraId="6AA506A3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 w14:paraId="000C3A8E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 w14:paraId="2EEDA01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 w14:paraId="3B47829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公司《薪酬管理制度》</w:t>
      </w:r>
    </w:p>
    <w:p w14:paraId="17C64D98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公司《员工手册》</w:t>
      </w:r>
    </w:p>
    <w:p w14:paraId="2B4D49A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16432"/>
      <w:r>
        <w:rPr>
          <w:rFonts w:hint="eastAsia"/>
          <w:lang w:val="en-US" w:eastAsia="zh-CN"/>
        </w:rPr>
        <w:t>定义与术语</w:t>
      </w:r>
      <w:bookmarkEnd w:id="11"/>
    </w:p>
    <w:p w14:paraId="23C0A23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8182"/>
      <w:r>
        <w:t>绩效考核</w:t>
      </w:r>
      <w:bookmarkEnd w:id="12"/>
    </w:p>
    <w:p w14:paraId="3168474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指公司按照既定标准和程序，对员工的工作行为与成果进行周期性评估的管理活动。</w:t>
      </w:r>
    </w:p>
    <w:p w14:paraId="4B3FC5D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13" w:name="_Toc16292"/>
      <w:r>
        <w:rPr>
          <w:rFonts w:hint="default"/>
        </w:rPr>
        <w:t>绩效工资</w:t>
      </w:r>
      <w:bookmarkEnd w:id="13"/>
    </w:p>
    <w:p w14:paraId="4EA72ED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与员工绩效考核结果挂钩的浮动薪酬部分。</w:t>
      </w:r>
    </w:p>
    <w:p w14:paraId="0C30644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14" w:name="_Toc17803"/>
      <w:r>
        <w:rPr>
          <w:rFonts w:hint="default"/>
        </w:rPr>
        <w:t>强制分布</w:t>
      </w:r>
      <w:bookmarkEnd w:id="14"/>
    </w:p>
    <w:p w14:paraId="07F063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为保障考核结果的合理区分度，对考核各等级人数比例进行限定的一种管理方法。</w:t>
      </w:r>
    </w:p>
    <w:p w14:paraId="6E07D95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4372"/>
      <w:r>
        <w:rPr>
          <w:rFonts w:hint="eastAsia"/>
          <w:lang w:val="en-US" w:eastAsia="zh-CN"/>
        </w:rPr>
        <w:t>管理内容与要求</w:t>
      </w:r>
      <w:bookmarkEnd w:id="15"/>
    </w:p>
    <w:p w14:paraId="3AF8B07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6782"/>
      <w:r>
        <w:rPr>
          <w:rFonts w:hint="default"/>
          <w:lang w:val="en-US" w:eastAsia="zh-CN"/>
        </w:rPr>
        <w:t>考核周期与方式</w:t>
      </w:r>
      <w:bookmarkEnd w:id="16"/>
    </w:p>
    <w:p w14:paraId="7698BA9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实行月度考核，考核周期与自然月保持一致（当月26日至次月25日）。</w:t>
      </w:r>
    </w:p>
    <w:p w14:paraId="4C7385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考核采用直接上级评价为主、部门负责人审核为辅的方式。具体考核关系及内容详见附件。</w:t>
      </w:r>
    </w:p>
    <w:p w14:paraId="45A188C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4379"/>
      <w:r>
        <w:rPr>
          <w:rFonts w:hint="eastAsia"/>
          <w:lang w:val="en-US" w:eastAsia="zh-CN"/>
        </w:rPr>
        <w:t>考核标准</w:t>
      </w:r>
      <w:bookmarkEnd w:id="17"/>
    </w:p>
    <w:p w14:paraId="4B8610F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8" w:name="_Toc14406"/>
      <w:bookmarkStart w:id="19" w:name="_Toc32759"/>
      <w:r>
        <w:rPr>
          <w:rFonts w:hint="eastAsia"/>
        </w:rPr>
        <w:t>管理</w:t>
      </w:r>
      <w:r>
        <w:rPr>
          <w:rFonts w:hint="eastAsia"/>
          <w:lang w:val="en-US" w:eastAsia="zh-CN"/>
        </w:rPr>
        <w:t>岗</w:t>
      </w:r>
      <w:r>
        <w:rPr>
          <w:rFonts w:hint="eastAsia"/>
        </w:rPr>
        <w:t>考评</w:t>
      </w:r>
      <w:bookmarkEnd w:id="18"/>
      <w:bookmarkEnd w:id="19"/>
    </w:p>
    <w:p w14:paraId="674BFE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管理</w:t>
      </w:r>
      <w:r>
        <w:rPr>
          <w:rFonts w:hint="eastAsia"/>
          <w:lang w:val="en-US" w:eastAsia="zh-CN"/>
        </w:rPr>
        <w:t>岗</w:t>
      </w:r>
      <w:r>
        <w:rPr>
          <w:rFonts w:hint="eastAsia"/>
        </w:rPr>
        <w:t>是指公司承担业务管理职责的各级管理人员。</w:t>
      </w:r>
    </w:p>
    <w:p w14:paraId="1F5D72D1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考评主体</w:t>
      </w:r>
    </w:p>
    <w:p w14:paraId="0100DB0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根据不同的考评对象确定相应的考评人员，原则上包括上级领导、业务关联度较高的其他部门负责人、组织内下属员工；不同考评主体将赋予不同的权重。</w:t>
      </w:r>
    </w:p>
    <w:p w14:paraId="369FF07D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考评内容</w:t>
      </w:r>
    </w:p>
    <w:p w14:paraId="218894C1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品行考评</w:t>
      </w:r>
    </w:p>
    <w:p w14:paraId="49611E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工作态度：向员工传达积极精神状态的主动性；与同事之间关系的协调合作性；关键时刻能组织员工加班加点完成任务的主动性。支持公司的各项政策方针，为公司声誉作正面宣传的主动性。</w:t>
      </w:r>
    </w:p>
    <w:p w14:paraId="0634DD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工作行为：遵守并督促下属遵守公司纪律的严格性，特别是劳动用工管理规定；律己清廉，身先士卒的模范表率作用；良好的把握组织工作发展趋势和方向的目标意识；处事公正客观、不徇私情，有原则性。</w:t>
      </w:r>
    </w:p>
    <w:p w14:paraId="486CA4B1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能力考评</w:t>
      </w:r>
    </w:p>
    <w:p w14:paraId="5929548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管理技能，包括决策、组织协调和指导下属的能力。基本技能，语言表达、沟通和人际交往能力等。</w:t>
      </w:r>
    </w:p>
    <w:p w14:paraId="4E7F5D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业务技能，与完成组织工作密切相关的专业能力。</w:t>
      </w:r>
    </w:p>
    <w:p w14:paraId="14CDFD2D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eastAsia"/>
        </w:rPr>
        <w:t>业绩考评</w:t>
      </w:r>
    </w:p>
    <w:p w14:paraId="2D530F5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组织工作职责的履行情况和工作绩效的改进情况：把握组织业务管理工作职责，围绕年度工作目标，各阶段性任务及全年任务的完成情况及对存在不足的改进情况；相关财务指标的完成情况。</w:t>
      </w:r>
    </w:p>
    <w:p w14:paraId="16DF43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临时工作任务执行情况：对公司的大型活动或其他临时性任务分配的工作，组织人员的及时性和工作任务的完成情况。</w:t>
      </w:r>
    </w:p>
    <w:p w14:paraId="1EA3509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组织内部管理情况：组织计划制定情况、工作分配的合理性；对公司制度政策的支持性和正确宣贯的积极性与效果；对组织工作和自我工作评价的客观性；在组织管理工作中发现问题并积极改进的及时性和有效性。</w:t>
      </w:r>
    </w:p>
    <w:p w14:paraId="0EEF642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0" w:name="_Toc13697"/>
      <w:bookmarkStart w:id="21" w:name="_Toc5458"/>
      <w:r>
        <w:rPr>
          <w:rFonts w:hint="eastAsia"/>
          <w:lang w:val="en-US" w:eastAsia="zh-CN"/>
        </w:rPr>
        <w:t>技术岗</w:t>
      </w:r>
      <w:r>
        <w:rPr>
          <w:rFonts w:hint="eastAsia"/>
        </w:rPr>
        <w:t>考评</w:t>
      </w:r>
      <w:bookmarkEnd w:id="20"/>
      <w:bookmarkEnd w:id="21"/>
    </w:p>
    <w:p w14:paraId="2771DCB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sz w:val="24"/>
        </w:rPr>
      </w:pPr>
      <w:r>
        <w:rPr>
          <w:rFonts w:hint="eastAsia"/>
          <w:sz w:val="24"/>
        </w:rPr>
        <w:t>技术</w:t>
      </w:r>
      <w:r>
        <w:rPr>
          <w:rFonts w:hint="eastAsia"/>
          <w:sz w:val="24"/>
          <w:lang w:val="en-US" w:eastAsia="zh-CN"/>
        </w:rPr>
        <w:t>岗</w:t>
      </w:r>
      <w:r>
        <w:rPr>
          <w:rFonts w:hint="eastAsia"/>
          <w:sz w:val="24"/>
        </w:rPr>
        <w:t>是指从事专业技术工作的员工。</w:t>
      </w:r>
    </w:p>
    <w:p w14:paraId="65977396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sz w:val="24"/>
        </w:rPr>
      </w:pPr>
      <w:r>
        <w:rPr>
          <w:rFonts w:hint="eastAsia"/>
          <w:sz w:val="24"/>
        </w:rPr>
        <w:t>考评主体</w:t>
      </w:r>
    </w:p>
    <w:p w14:paraId="26CA46F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sz w:val="24"/>
        </w:rPr>
      </w:pPr>
      <w:r>
        <w:rPr>
          <w:rFonts w:hint="eastAsia"/>
          <w:sz w:val="24"/>
        </w:rPr>
        <w:t>由部门负责人组建考评小组，原则上包括部门负责人、直接上级、本部门员工代表以及与本部门业务关联度较高的其他部门员工代表；不同考评主体将赋予不同的权重。</w:t>
      </w:r>
    </w:p>
    <w:p w14:paraId="76430BD4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sz w:val="24"/>
        </w:rPr>
      </w:pPr>
      <w:r>
        <w:rPr>
          <w:rFonts w:hint="eastAsia"/>
          <w:sz w:val="24"/>
        </w:rPr>
        <w:t>考评内容</w:t>
      </w:r>
    </w:p>
    <w:p w14:paraId="292C6F44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sz w:val="24"/>
        </w:rPr>
      </w:pPr>
      <w:r>
        <w:rPr>
          <w:rFonts w:hint="eastAsia"/>
          <w:sz w:val="24"/>
        </w:rPr>
        <w:t>品行考评</w:t>
      </w:r>
    </w:p>
    <w:p w14:paraId="50299D1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sz w:val="24"/>
        </w:rPr>
      </w:pPr>
      <w:r>
        <w:rPr>
          <w:rFonts w:hint="eastAsia"/>
          <w:sz w:val="24"/>
        </w:rPr>
        <w:t>工作态度：积极主动按项目标准完成任务；了解专业动态，主动学习新知识、新技能；具有强烈的责任心，认真按照业务规程实施作业；良好的服务意识，尽力达成用户满意。</w:t>
      </w:r>
    </w:p>
    <w:p w14:paraId="35E146A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sz w:val="24"/>
        </w:rPr>
      </w:pPr>
      <w:r>
        <w:rPr>
          <w:rFonts w:hint="eastAsia"/>
          <w:sz w:val="24"/>
        </w:rPr>
        <w:t>工作行为：严格遵守公司纪律，支持公司的各项政策方针，认同公司文化，自觉维护公司形象；保护公司知识产权和商业秘密，维护公司利益；与用户关系融洽，能做到既对公司负责，又对用户负责。</w:t>
      </w:r>
    </w:p>
    <w:p w14:paraId="6436F6FB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sz w:val="24"/>
        </w:rPr>
      </w:pPr>
      <w:r>
        <w:rPr>
          <w:rFonts w:hint="eastAsia"/>
          <w:sz w:val="24"/>
        </w:rPr>
        <w:t>能力考评</w:t>
      </w:r>
    </w:p>
    <w:p w14:paraId="355C193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sz w:val="24"/>
        </w:rPr>
      </w:pPr>
      <w:r>
        <w:rPr>
          <w:rFonts w:hint="eastAsia"/>
          <w:sz w:val="24"/>
        </w:rPr>
        <w:t>基本技能，团结协作能力、沟通协调能力、语言表达能力、灵活应变能力等。业务技能，与完成本职工作密切相关的专业能力。</w:t>
      </w:r>
    </w:p>
    <w:p w14:paraId="70F6BE33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sz w:val="24"/>
        </w:rPr>
      </w:pPr>
      <w:r>
        <w:rPr>
          <w:rFonts w:hint="eastAsia"/>
          <w:sz w:val="24"/>
        </w:rPr>
        <w:t>业绩考评</w:t>
      </w:r>
    </w:p>
    <w:p w14:paraId="6B18531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sz w:val="24"/>
        </w:rPr>
      </w:pPr>
      <w:r>
        <w:rPr>
          <w:rFonts w:hint="eastAsia"/>
          <w:sz w:val="24"/>
        </w:rPr>
        <w:t>工作职责履行情况：参与项目的主要内容及参与程度；项目中主要作用与承担的职责；项目完成的数量、质量、效率及成本；用户及上级满意度等。</w:t>
      </w:r>
    </w:p>
    <w:p w14:paraId="7B4BD5D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sz w:val="24"/>
        </w:rPr>
      </w:pPr>
      <w:r>
        <w:rPr>
          <w:rFonts w:hint="eastAsia"/>
          <w:sz w:val="24"/>
        </w:rPr>
        <w:t>日常工作的自我管理情况：重点考核日常工作的计划性、执行力、工作合理性安排情况等。</w:t>
      </w:r>
    </w:p>
    <w:p w14:paraId="18E646C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2" w:name="_Toc32277"/>
      <w:bookmarkStart w:id="23" w:name="_Toc2693"/>
      <w:r>
        <w:rPr>
          <w:rFonts w:hint="eastAsia"/>
          <w:lang w:val="en-US" w:eastAsia="zh-CN"/>
        </w:rPr>
        <w:t>操作岗</w:t>
      </w:r>
      <w:r>
        <w:rPr>
          <w:rFonts w:hint="eastAsia"/>
        </w:rPr>
        <w:t>考评</w:t>
      </w:r>
      <w:bookmarkEnd w:id="22"/>
      <w:bookmarkEnd w:id="23"/>
    </w:p>
    <w:p w14:paraId="272C9F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leftChars="0" w:firstLine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操作岗包括运维工程师、服务台专员、质量管理专员等运维岗位。</w:t>
      </w:r>
    </w:p>
    <w:p w14:paraId="097E399F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考评主体</w:t>
      </w:r>
    </w:p>
    <w:p w14:paraId="2F3E52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成立由运维管理部门负责人牵头的考核小组，成员包括：部门负责人、以及与服务流程衔接紧密的或相关</w:t>
      </w:r>
      <w:r>
        <w:rPr>
          <w:rFonts w:hint="eastAsia"/>
          <w:lang w:val="en-US" w:eastAsia="zh-CN"/>
        </w:rPr>
        <w:t>人员</w:t>
      </w:r>
      <w:r>
        <w:t>。不同考核视角将赋予差异化权重，以全面反映操作人员的综合表现。</w:t>
      </w:r>
    </w:p>
    <w:p w14:paraId="560C81B3">
      <w:pPr>
        <w:pStyle w:val="29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考评内容</w:t>
      </w:r>
    </w:p>
    <w:p w14:paraId="1E09A1DC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操作规范考评</w:t>
      </w:r>
    </w:p>
    <w:p w14:paraId="5318E3F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严格遵循标准作业程序（SOP）、操作手册及各项安全生产规定，无违规操作。</w:t>
      </w:r>
    </w:p>
    <w:p w14:paraId="4307FA8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操作前准备充分，操作中细致核对，操作后检查确认，具备高度的质量敏感度。</w:t>
      </w:r>
    </w:p>
    <w:p w14:paraId="4D576B9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对操作结果负责，能主动汇报操作中的异常情况，并能妥善进行初步应急处置。</w:t>
      </w:r>
    </w:p>
    <w:p w14:paraId="6EDDF27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职业素养</w:t>
      </w:r>
    </w:p>
    <w:p w14:paraId="7F7B81E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具备风险防范意识，熟知安全预案，能自觉保护自身、他人及公司资产安全。</w:t>
      </w:r>
    </w:p>
    <w:p w14:paraId="62D09E0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严格遵守公司纪律、考勤制度及保密规定，支持公司政策，维护团队和谐。</w:t>
      </w:r>
    </w:p>
    <w:p w14:paraId="6AE78DB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具备良好的配合意识，积极响应服务台或其他部门发起的合理操作请求。</w:t>
      </w:r>
    </w:p>
    <w:p w14:paraId="45AB8FE9">
      <w:pPr>
        <w:pStyle w:val="29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工作能力考评</w:t>
      </w:r>
    </w:p>
    <w:p w14:paraId="06067DA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熟练掌握本岗位所需的各项操作技能，动手能力强，操作精准、高效。</w:t>
      </w:r>
    </w:p>
    <w:p w14:paraId="7BC453A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具备初步识别操作中常见问题的能力，并能依据规程进行有效处置。</w:t>
      </w:r>
    </w:p>
    <w:p w14:paraId="102038A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熟练操作并负责维护本岗位的专用工具、仪器及设备。</w:t>
      </w:r>
    </w:p>
    <w:p w14:paraId="7CCE31D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4" w:name="_Toc22685"/>
      <w:r>
        <w:rPr>
          <w:rFonts w:hint="eastAsia"/>
          <w:lang w:val="en-US" w:eastAsia="zh-CN"/>
        </w:rPr>
        <w:t>非管理岗</w:t>
      </w:r>
      <w:r>
        <w:rPr>
          <w:rFonts w:hint="eastAsia"/>
        </w:rPr>
        <w:t>绩效考核</w:t>
      </w:r>
      <w:r>
        <w:rPr>
          <w:rFonts w:hint="eastAsia"/>
          <w:lang w:val="en-US" w:eastAsia="zh-CN"/>
        </w:rPr>
        <w:t>标准</w:t>
      </w:r>
      <w:bookmarkEnd w:id="24"/>
    </w:p>
    <w:p w14:paraId="4B92E06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A.员工完成的工作数量评价。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 w14:paraId="6D1D6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2190" w:type="dxa"/>
          </w:tcPr>
          <w:p w14:paraId="4303794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15分</w:t>
            </w:r>
          </w:p>
        </w:tc>
        <w:tc>
          <w:tcPr>
            <w:tcW w:w="2189" w:type="dxa"/>
          </w:tcPr>
          <w:p w14:paraId="229BF0A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12分</w:t>
            </w:r>
          </w:p>
        </w:tc>
        <w:tc>
          <w:tcPr>
            <w:tcW w:w="2191" w:type="dxa"/>
          </w:tcPr>
          <w:p w14:paraId="07F52AE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6分</w:t>
            </w:r>
          </w:p>
        </w:tc>
        <w:tc>
          <w:tcPr>
            <w:tcW w:w="2190" w:type="dxa"/>
          </w:tcPr>
          <w:p w14:paraId="3B3268E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4分</w:t>
            </w:r>
          </w:p>
        </w:tc>
      </w:tr>
      <w:tr w14:paraId="2BA4C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4" w:hRule="atLeast"/>
          <w:jc w:val="center"/>
        </w:trPr>
        <w:tc>
          <w:tcPr>
            <w:tcW w:w="2190" w:type="dxa"/>
          </w:tcPr>
          <w:p w14:paraId="5BA1B9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轻松承担高强度、高密度工作。</w:t>
            </w:r>
          </w:p>
        </w:tc>
        <w:tc>
          <w:tcPr>
            <w:tcW w:w="2189" w:type="dxa"/>
          </w:tcPr>
          <w:p w14:paraId="10ECFF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可以承担高强度、高密度工作。</w:t>
            </w:r>
          </w:p>
        </w:tc>
        <w:tc>
          <w:tcPr>
            <w:tcW w:w="2191" w:type="dxa"/>
          </w:tcPr>
          <w:p w14:paraId="711A81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能够完成工作量。</w:t>
            </w:r>
          </w:p>
        </w:tc>
        <w:tc>
          <w:tcPr>
            <w:tcW w:w="2190" w:type="dxa"/>
          </w:tcPr>
          <w:p w14:paraId="6A3F7F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考核期内无正当理由累计2次未完成工作量。</w:t>
            </w:r>
          </w:p>
        </w:tc>
      </w:tr>
    </w:tbl>
    <w:p w14:paraId="6FB9A75E">
      <w:pPr>
        <w:pStyle w:val="4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B.员工完成的工作所用时效。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 w14:paraId="0DCB2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2190" w:type="dxa"/>
          </w:tcPr>
          <w:p w14:paraId="1153382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15分</w:t>
            </w:r>
          </w:p>
        </w:tc>
        <w:tc>
          <w:tcPr>
            <w:tcW w:w="2189" w:type="dxa"/>
          </w:tcPr>
          <w:p w14:paraId="664B7603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12分</w:t>
            </w:r>
          </w:p>
        </w:tc>
        <w:tc>
          <w:tcPr>
            <w:tcW w:w="2191" w:type="dxa"/>
          </w:tcPr>
          <w:p w14:paraId="494731B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6分</w:t>
            </w:r>
          </w:p>
        </w:tc>
        <w:tc>
          <w:tcPr>
            <w:tcW w:w="2190" w:type="dxa"/>
          </w:tcPr>
          <w:p w14:paraId="1549D21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4分</w:t>
            </w:r>
          </w:p>
        </w:tc>
      </w:tr>
      <w:tr w14:paraId="42859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  <w:jc w:val="center"/>
        </w:trPr>
        <w:tc>
          <w:tcPr>
            <w:tcW w:w="2190" w:type="dxa"/>
          </w:tcPr>
          <w:p w14:paraId="75DEEB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总能提前完成。</w:t>
            </w:r>
          </w:p>
        </w:tc>
        <w:tc>
          <w:tcPr>
            <w:tcW w:w="2189" w:type="dxa"/>
          </w:tcPr>
          <w:p w14:paraId="1C5F4D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能保证按时完成，偶有提前。</w:t>
            </w:r>
          </w:p>
        </w:tc>
        <w:tc>
          <w:tcPr>
            <w:tcW w:w="2191" w:type="dxa"/>
          </w:tcPr>
          <w:p w14:paraId="49BCA1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基本能够按时完成。</w:t>
            </w:r>
          </w:p>
        </w:tc>
        <w:tc>
          <w:tcPr>
            <w:tcW w:w="2190" w:type="dxa"/>
          </w:tcPr>
          <w:p w14:paraId="6B338E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考核期内无正当理由累计2次未按时完成工作。</w:t>
            </w:r>
          </w:p>
        </w:tc>
      </w:tr>
    </w:tbl>
    <w:p w14:paraId="7FF6809D">
      <w:pPr>
        <w:pStyle w:val="4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C.员工的工作质量。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 w14:paraId="511B6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2190" w:type="dxa"/>
          </w:tcPr>
          <w:p w14:paraId="3CDA0B33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20分</w:t>
            </w:r>
          </w:p>
        </w:tc>
        <w:tc>
          <w:tcPr>
            <w:tcW w:w="2189" w:type="dxa"/>
          </w:tcPr>
          <w:p w14:paraId="46A42A2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16分</w:t>
            </w:r>
          </w:p>
        </w:tc>
        <w:tc>
          <w:tcPr>
            <w:tcW w:w="2191" w:type="dxa"/>
          </w:tcPr>
          <w:p w14:paraId="5FEBEE7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12分</w:t>
            </w:r>
          </w:p>
        </w:tc>
        <w:tc>
          <w:tcPr>
            <w:tcW w:w="2190" w:type="dxa"/>
          </w:tcPr>
          <w:p w14:paraId="4A3DE9C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8分</w:t>
            </w:r>
          </w:p>
        </w:tc>
      </w:tr>
      <w:tr w14:paraId="519B5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2190" w:type="dxa"/>
          </w:tcPr>
          <w:p w14:paraId="431D2C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质量极高。</w:t>
            </w:r>
          </w:p>
        </w:tc>
        <w:tc>
          <w:tcPr>
            <w:tcW w:w="2189" w:type="dxa"/>
          </w:tcPr>
          <w:p w14:paraId="150D38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质量超出基本要求。</w:t>
            </w:r>
          </w:p>
        </w:tc>
        <w:tc>
          <w:tcPr>
            <w:tcW w:w="2191" w:type="dxa"/>
          </w:tcPr>
          <w:p w14:paraId="0EB400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质量符合基本要求。</w:t>
            </w:r>
          </w:p>
        </w:tc>
        <w:tc>
          <w:tcPr>
            <w:tcW w:w="2190" w:type="dxa"/>
          </w:tcPr>
          <w:p w14:paraId="00957E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考核期内无正当理由累计2次工作质量不符合要求。</w:t>
            </w:r>
          </w:p>
        </w:tc>
      </w:tr>
    </w:tbl>
    <w:p w14:paraId="3B2A452C">
      <w:pPr>
        <w:pStyle w:val="4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  <w:lang w:val="en-US" w:eastAsia="zh-CN"/>
        </w:rPr>
        <w:t>D</w:t>
      </w:r>
      <w:r>
        <w:rPr>
          <w:rFonts w:hint="eastAsia" w:ascii="宋体" w:hAnsi="宋体" w:cs="宋体"/>
          <w:sz w:val="24"/>
        </w:rPr>
        <w:t>.员工</w:t>
      </w:r>
      <w:r>
        <w:rPr>
          <w:rFonts w:hint="eastAsia" w:ascii="宋体" w:hAnsi="宋体" w:cs="宋体"/>
          <w:sz w:val="24"/>
          <w:lang w:val="en-US" w:eastAsia="zh-CN"/>
        </w:rPr>
        <w:t>工作</w:t>
      </w:r>
      <w:r>
        <w:rPr>
          <w:rFonts w:hint="eastAsia" w:ascii="宋体" w:hAnsi="宋体" w:cs="宋体"/>
          <w:sz w:val="24"/>
        </w:rPr>
        <w:t>的</w:t>
      </w:r>
      <w:r>
        <w:rPr>
          <w:rFonts w:hint="eastAsia" w:ascii="宋体" w:hAnsi="宋体" w:cs="宋体"/>
          <w:sz w:val="24"/>
          <w:lang w:val="en-US" w:eastAsia="zh-CN"/>
        </w:rPr>
        <w:t>客户满意度</w:t>
      </w:r>
      <w:r>
        <w:rPr>
          <w:rFonts w:hint="eastAsia" w:ascii="宋体" w:hAnsi="宋体" w:cs="宋体"/>
          <w:sz w:val="24"/>
        </w:rPr>
        <w:t>。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 w14:paraId="28377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2190" w:type="dxa"/>
          </w:tcPr>
          <w:p w14:paraId="592A019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20分</w:t>
            </w:r>
          </w:p>
        </w:tc>
        <w:tc>
          <w:tcPr>
            <w:tcW w:w="2189" w:type="dxa"/>
          </w:tcPr>
          <w:p w14:paraId="423B312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16分</w:t>
            </w:r>
          </w:p>
        </w:tc>
        <w:tc>
          <w:tcPr>
            <w:tcW w:w="2191" w:type="dxa"/>
          </w:tcPr>
          <w:p w14:paraId="3C6AF91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12分</w:t>
            </w:r>
          </w:p>
        </w:tc>
        <w:tc>
          <w:tcPr>
            <w:tcW w:w="2190" w:type="dxa"/>
          </w:tcPr>
          <w:p w14:paraId="77DA8CA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8分</w:t>
            </w:r>
          </w:p>
        </w:tc>
      </w:tr>
      <w:tr w14:paraId="07C21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2190" w:type="dxa"/>
          </w:tcPr>
          <w:p w14:paraId="41C738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满意度</w:t>
            </w:r>
            <w:r>
              <w:rPr>
                <w:rFonts w:hint="eastAsia" w:ascii="宋体" w:hAnsi="宋体" w:cs="宋体"/>
                <w:szCs w:val="21"/>
              </w:rPr>
              <w:t>极高。</w:t>
            </w:r>
          </w:p>
        </w:tc>
        <w:tc>
          <w:tcPr>
            <w:tcW w:w="2189" w:type="dxa"/>
          </w:tcPr>
          <w:p w14:paraId="5BA091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满意度</w:t>
            </w:r>
            <w:r>
              <w:rPr>
                <w:rFonts w:hint="eastAsia" w:ascii="宋体" w:hAnsi="宋体" w:cs="宋体"/>
                <w:szCs w:val="21"/>
              </w:rPr>
              <w:t>超出基本要求。</w:t>
            </w:r>
          </w:p>
        </w:tc>
        <w:tc>
          <w:tcPr>
            <w:tcW w:w="2191" w:type="dxa"/>
          </w:tcPr>
          <w:p w14:paraId="0BA070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满意度</w:t>
            </w:r>
            <w:r>
              <w:rPr>
                <w:rFonts w:hint="eastAsia" w:ascii="宋体" w:hAnsi="宋体" w:cs="宋体"/>
                <w:szCs w:val="21"/>
              </w:rPr>
              <w:t>符合基本要求。</w:t>
            </w:r>
          </w:p>
        </w:tc>
        <w:tc>
          <w:tcPr>
            <w:tcW w:w="2190" w:type="dxa"/>
          </w:tcPr>
          <w:p w14:paraId="666C87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满意度不满足要求</w:t>
            </w:r>
          </w:p>
        </w:tc>
      </w:tr>
    </w:tbl>
    <w:p w14:paraId="6334E572">
      <w:pPr>
        <w:pStyle w:val="4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  <w:lang w:val="en-US" w:eastAsia="zh-CN"/>
        </w:rPr>
        <w:t>E</w:t>
      </w:r>
      <w:r>
        <w:rPr>
          <w:rFonts w:hint="eastAsia" w:ascii="宋体" w:hAnsi="宋体" w:cs="宋体"/>
          <w:sz w:val="24"/>
        </w:rPr>
        <w:t>.员工</w:t>
      </w:r>
      <w:r>
        <w:rPr>
          <w:rFonts w:hint="eastAsia" w:ascii="宋体" w:hAnsi="宋体" w:cs="宋体"/>
          <w:sz w:val="24"/>
          <w:lang w:val="en-US" w:eastAsia="zh-CN"/>
        </w:rPr>
        <w:t>技能专业程度</w:t>
      </w:r>
      <w:r>
        <w:rPr>
          <w:rFonts w:hint="eastAsia" w:ascii="宋体" w:hAnsi="宋体" w:cs="宋体"/>
          <w:sz w:val="24"/>
        </w:rPr>
        <w:t>。</w:t>
      </w:r>
    </w:p>
    <w:tbl>
      <w:tblPr>
        <w:tblStyle w:val="20"/>
        <w:tblW w:w="8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1800"/>
        <w:gridCol w:w="2592"/>
        <w:gridCol w:w="2190"/>
      </w:tblGrid>
      <w:tr w14:paraId="7C95D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2178" w:type="dxa"/>
          </w:tcPr>
          <w:p w14:paraId="0E3A8CF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0分</w:t>
            </w:r>
          </w:p>
        </w:tc>
        <w:tc>
          <w:tcPr>
            <w:tcW w:w="1800" w:type="dxa"/>
          </w:tcPr>
          <w:p w14:paraId="6940DE4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16分</w:t>
            </w:r>
          </w:p>
        </w:tc>
        <w:tc>
          <w:tcPr>
            <w:tcW w:w="2592" w:type="dxa"/>
          </w:tcPr>
          <w:p w14:paraId="376F6081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12分</w:t>
            </w:r>
          </w:p>
        </w:tc>
        <w:tc>
          <w:tcPr>
            <w:tcW w:w="2190" w:type="dxa"/>
          </w:tcPr>
          <w:p w14:paraId="5EC0D5F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8分</w:t>
            </w:r>
          </w:p>
        </w:tc>
      </w:tr>
      <w:tr w14:paraId="3171C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2178" w:type="dxa"/>
          </w:tcPr>
          <w:p w14:paraId="42BA13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宋体" w:hAnsi="宋体" w:cs="宋体"/>
                <w:szCs w:val="21"/>
                <w:lang w:val="en-US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非常专业</w:t>
            </w:r>
          </w:p>
        </w:tc>
        <w:tc>
          <w:tcPr>
            <w:tcW w:w="1800" w:type="dxa"/>
          </w:tcPr>
          <w:p w14:paraId="341749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宋体" w:hAnsi="宋体" w:cs="宋体"/>
                <w:szCs w:val="21"/>
                <w:lang w:val="en-US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专业程度超出基本要求</w:t>
            </w:r>
          </w:p>
        </w:tc>
        <w:tc>
          <w:tcPr>
            <w:tcW w:w="2592" w:type="dxa"/>
          </w:tcPr>
          <w:p w14:paraId="4E614D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专业程度</w:t>
            </w:r>
            <w:r>
              <w:rPr>
                <w:rFonts w:hint="eastAsia" w:ascii="宋体" w:hAnsi="宋体" w:cs="宋体"/>
                <w:szCs w:val="21"/>
              </w:rPr>
              <w:t>符合基本要求。</w:t>
            </w:r>
          </w:p>
        </w:tc>
        <w:tc>
          <w:tcPr>
            <w:tcW w:w="2190" w:type="dxa"/>
          </w:tcPr>
          <w:p w14:paraId="7D997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专业程度不满足要求</w:t>
            </w:r>
          </w:p>
        </w:tc>
      </w:tr>
    </w:tbl>
    <w:p w14:paraId="27B8116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5" w:name="_Toc11568"/>
      <w:r>
        <w:rPr>
          <w:rFonts w:hint="eastAsia"/>
          <w:lang w:val="en-US" w:eastAsia="zh-CN"/>
        </w:rPr>
        <w:t>管理岗</w:t>
      </w:r>
      <w:r>
        <w:rPr>
          <w:rFonts w:hint="eastAsia"/>
        </w:rPr>
        <w:t>绩效考核</w:t>
      </w:r>
      <w:r>
        <w:rPr>
          <w:rFonts w:hint="eastAsia"/>
          <w:lang w:val="en-US" w:eastAsia="zh-CN"/>
        </w:rPr>
        <w:t>标准</w:t>
      </w:r>
      <w:bookmarkEnd w:id="25"/>
    </w:p>
    <w:p w14:paraId="066F98A2">
      <w:pPr>
        <w:pStyle w:val="43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所具备的专业知识程度。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 w14:paraId="3A10F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  <w:jc w:val="center"/>
        </w:trPr>
        <w:tc>
          <w:tcPr>
            <w:tcW w:w="2190" w:type="dxa"/>
          </w:tcPr>
          <w:p w14:paraId="3FA57B8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</w:t>
            </w:r>
          </w:p>
        </w:tc>
        <w:tc>
          <w:tcPr>
            <w:tcW w:w="2189" w:type="dxa"/>
          </w:tcPr>
          <w:p w14:paraId="37F3D4E3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</w:t>
            </w:r>
          </w:p>
        </w:tc>
        <w:tc>
          <w:tcPr>
            <w:tcW w:w="2191" w:type="dxa"/>
          </w:tcPr>
          <w:p w14:paraId="7F1F927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</w:t>
            </w:r>
          </w:p>
        </w:tc>
        <w:tc>
          <w:tcPr>
            <w:tcW w:w="2190" w:type="dxa"/>
          </w:tcPr>
          <w:p w14:paraId="503F45D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</w:t>
            </w:r>
          </w:p>
        </w:tc>
      </w:tr>
      <w:tr w14:paraId="2BDD5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9" w:hRule="atLeast"/>
          <w:jc w:val="center"/>
        </w:trPr>
        <w:tc>
          <w:tcPr>
            <w:tcW w:w="2190" w:type="dxa"/>
          </w:tcPr>
          <w:p w14:paraId="68DD7B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专业知识非常丰富，理论结合实践能力强。能够熟练运用专业知识高效解决实际工作问题。</w:t>
            </w:r>
          </w:p>
        </w:tc>
        <w:tc>
          <w:tcPr>
            <w:tcW w:w="2189" w:type="dxa"/>
          </w:tcPr>
          <w:p w14:paraId="183032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专业知识较丰富，能够利用所学专业知识有效解决工作中面临的实际问题。</w:t>
            </w:r>
          </w:p>
        </w:tc>
        <w:tc>
          <w:tcPr>
            <w:tcW w:w="2191" w:type="dxa"/>
          </w:tcPr>
          <w:p w14:paraId="295FF0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专业知识虽有欠缺，基本能够满足工作需要。</w:t>
            </w:r>
          </w:p>
        </w:tc>
        <w:tc>
          <w:tcPr>
            <w:tcW w:w="2190" w:type="dxa"/>
          </w:tcPr>
          <w:p w14:paraId="3AC2B6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专业知识严重不足，无法满足实际工作需要。</w:t>
            </w:r>
          </w:p>
        </w:tc>
      </w:tr>
    </w:tbl>
    <w:p w14:paraId="5B789FA5">
      <w:pPr>
        <w:pStyle w:val="43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  <w:lang w:val="en-US" w:eastAsia="zh-CN"/>
        </w:rPr>
        <w:t>管理期间工作质量</w:t>
      </w:r>
      <w:r>
        <w:rPr>
          <w:rFonts w:hint="eastAsia" w:ascii="宋体" w:hAnsi="宋体" w:cs="宋体"/>
          <w:sz w:val="24"/>
        </w:rPr>
        <w:t>。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 w14:paraId="36AC8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  <w:jc w:val="center"/>
        </w:trPr>
        <w:tc>
          <w:tcPr>
            <w:tcW w:w="2190" w:type="dxa"/>
          </w:tcPr>
          <w:p w14:paraId="2D8FE8E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0分</w:t>
            </w:r>
          </w:p>
        </w:tc>
        <w:tc>
          <w:tcPr>
            <w:tcW w:w="2189" w:type="dxa"/>
          </w:tcPr>
          <w:p w14:paraId="0734D93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</w:t>
            </w:r>
          </w:p>
        </w:tc>
        <w:tc>
          <w:tcPr>
            <w:tcW w:w="2191" w:type="dxa"/>
          </w:tcPr>
          <w:p w14:paraId="708C38B4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</w:t>
            </w:r>
          </w:p>
        </w:tc>
        <w:tc>
          <w:tcPr>
            <w:tcW w:w="2190" w:type="dxa"/>
          </w:tcPr>
          <w:p w14:paraId="5B5F32E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</w:t>
            </w:r>
          </w:p>
        </w:tc>
      </w:tr>
      <w:tr w14:paraId="5FE16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  <w:jc w:val="center"/>
        </w:trPr>
        <w:tc>
          <w:tcPr>
            <w:tcW w:w="2190" w:type="dxa"/>
          </w:tcPr>
          <w:p w14:paraId="65B7E5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完全胜任管理工作</w:t>
            </w:r>
          </w:p>
        </w:tc>
        <w:tc>
          <w:tcPr>
            <w:tcW w:w="2189" w:type="dxa"/>
          </w:tcPr>
          <w:p w14:paraId="5DBD48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较好完成管理工作</w:t>
            </w:r>
          </w:p>
        </w:tc>
        <w:tc>
          <w:tcPr>
            <w:tcW w:w="2191" w:type="dxa"/>
          </w:tcPr>
          <w:p w14:paraId="57BA5D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基本满足管理工作要求</w:t>
            </w:r>
          </w:p>
        </w:tc>
        <w:tc>
          <w:tcPr>
            <w:tcW w:w="2190" w:type="dxa"/>
          </w:tcPr>
          <w:p w14:paraId="596F04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不胜任管理工作</w:t>
            </w:r>
          </w:p>
        </w:tc>
      </w:tr>
    </w:tbl>
    <w:p w14:paraId="0B2DE277">
      <w:pPr>
        <w:pStyle w:val="43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所具备的职业道德。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 w14:paraId="264AE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  <w:jc w:val="center"/>
        </w:trPr>
        <w:tc>
          <w:tcPr>
            <w:tcW w:w="2190" w:type="dxa"/>
          </w:tcPr>
          <w:p w14:paraId="407B94B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5分</w:t>
            </w:r>
          </w:p>
        </w:tc>
        <w:tc>
          <w:tcPr>
            <w:tcW w:w="2189" w:type="dxa"/>
          </w:tcPr>
          <w:p w14:paraId="26554B7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</w:t>
            </w:r>
          </w:p>
        </w:tc>
        <w:tc>
          <w:tcPr>
            <w:tcW w:w="2191" w:type="dxa"/>
          </w:tcPr>
          <w:p w14:paraId="0AF528B3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</w:t>
            </w:r>
          </w:p>
        </w:tc>
        <w:tc>
          <w:tcPr>
            <w:tcW w:w="2190" w:type="dxa"/>
          </w:tcPr>
          <w:p w14:paraId="7D507FF1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</w:t>
            </w:r>
          </w:p>
        </w:tc>
      </w:tr>
      <w:tr w14:paraId="401EA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  <w:jc w:val="center"/>
        </w:trPr>
        <w:tc>
          <w:tcPr>
            <w:tcW w:w="2190" w:type="dxa"/>
          </w:tcPr>
          <w:p w14:paraId="572C63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</w:rPr>
              <w:t>自觉严格遵守内部规章制度；高度的责任心和优良的团队合作精神；勤学肯干，绝对服从大局。</w:t>
            </w:r>
          </w:p>
        </w:tc>
        <w:tc>
          <w:tcPr>
            <w:tcW w:w="2189" w:type="dxa"/>
          </w:tcPr>
          <w:p w14:paraId="33A35C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</w:rPr>
              <w:t>自觉遵守内部规章制度；责任心和团队合作精神较好；勤学肯干，服从领导和大局。</w:t>
            </w:r>
          </w:p>
        </w:tc>
        <w:tc>
          <w:tcPr>
            <w:tcW w:w="2191" w:type="dxa"/>
          </w:tcPr>
          <w:p w14:paraId="78A3CB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</w:rPr>
              <w:t>遵守内部规章制度；有一定的责任心和团队合作精神；有一定的大局观。</w:t>
            </w:r>
          </w:p>
        </w:tc>
        <w:tc>
          <w:tcPr>
            <w:tcW w:w="2190" w:type="dxa"/>
          </w:tcPr>
          <w:p w14:paraId="2104B5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</w:rPr>
              <w:t>不遵守内部制度责任心较差，协作精神差，无大局观不服从领导。</w:t>
            </w:r>
          </w:p>
        </w:tc>
      </w:tr>
    </w:tbl>
    <w:p w14:paraId="125D8B08">
      <w:pPr>
        <w:pStyle w:val="43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所具备的学习能力。</w:t>
      </w:r>
    </w:p>
    <w:tbl>
      <w:tblPr>
        <w:tblStyle w:val="20"/>
        <w:tblW w:w="87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 w14:paraId="42C22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  <w:jc w:val="center"/>
        </w:trPr>
        <w:tc>
          <w:tcPr>
            <w:tcW w:w="2190" w:type="dxa"/>
          </w:tcPr>
          <w:p w14:paraId="4EB416B4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5分</w:t>
            </w:r>
          </w:p>
        </w:tc>
        <w:tc>
          <w:tcPr>
            <w:tcW w:w="2189" w:type="dxa"/>
            <w:shd w:val="clear" w:color="auto" w:fill="auto"/>
          </w:tcPr>
          <w:p w14:paraId="79A9A6C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</w:t>
            </w:r>
          </w:p>
        </w:tc>
        <w:tc>
          <w:tcPr>
            <w:tcW w:w="2191" w:type="dxa"/>
            <w:shd w:val="clear" w:color="auto" w:fill="auto"/>
          </w:tcPr>
          <w:p w14:paraId="45E63A00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</w:t>
            </w:r>
          </w:p>
        </w:tc>
        <w:tc>
          <w:tcPr>
            <w:tcW w:w="2190" w:type="dxa"/>
            <w:shd w:val="clear" w:color="auto" w:fill="auto"/>
          </w:tcPr>
          <w:p w14:paraId="69BF76D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</w:t>
            </w:r>
          </w:p>
        </w:tc>
      </w:tr>
      <w:tr w14:paraId="5B035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 w:hRule="atLeast"/>
          <w:jc w:val="center"/>
        </w:trPr>
        <w:tc>
          <w:tcPr>
            <w:tcW w:w="2190" w:type="dxa"/>
          </w:tcPr>
          <w:p w14:paraId="3CD65A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</w:rPr>
              <w:t>主动学习积极进取；掌握的知识和技能很快运用到实际工作中；培养潜力巨大。</w:t>
            </w:r>
          </w:p>
        </w:tc>
        <w:tc>
          <w:tcPr>
            <w:tcW w:w="2189" w:type="dxa"/>
          </w:tcPr>
          <w:p w14:paraId="3A2A12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</w:rPr>
              <w:t>学习进取能力较强；掌握的知识和技能较好运用于实际工作；有培养潜力。</w:t>
            </w:r>
          </w:p>
        </w:tc>
        <w:tc>
          <w:tcPr>
            <w:tcW w:w="2191" w:type="dxa"/>
          </w:tcPr>
          <w:p w14:paraId="56500B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</w:rPr>
              <w:t>能够学习与工作相关的知识；掌握的知识和技能可以对实际工作有促进作用。</w:t>
            </w:r>
          </w:p>
        </w:tc>
        <w:tc>
          <w:tcPr>
            <w:tcW w:w="2190" w:type="dxa"/>
          </w:tcPr>
          <w:p w14:paraId="307927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</w:rPr>
              <w:t>不主动学习，不思进取</w:t>
            </w:r>
          </w:p>
        </w:tc>
      </w:tr>
    </w:tbl>
    <w:p w14:paraId="73BA8D2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23315"/>
      <w:r>
        <w:rPr>
          <w:rFonts w:hint="default"/>
          <w:lang w:val="en-US" w:eastAsia="zh-CN"/>
        </w:rPr>
        <w:t>考核等级与系数</w:t>
      </w:r>
      <w:bookmarkEnd w:id="26"/>
    </w:p>
    <w:p w14:paraId="4E8CAD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t>考核采用百分制，并依据得分划分为S、A、B、C、D、E六个等级，各等级对应分数及绩效系数如</w:t>
      </w:r>
      <w:r>
        <w:rPr>
          <w:rFonts w:hint="eastAsia"/>
          <w:lang w:val="en-US" w:eastAsia="zh-CN"/>
        </w:rPr>
        <w:t>表4-1所示</w:t>
      </w:r>
      <w:r>
        <w:t>：</w:t>
      </w:r>
    </w:p>
    <w:p w14:paraId="5AB7FDF4">
      <w:r>
        <w:br w:type="page"/>
      </w:r>
    </w:p>
    <w:p w14:paraId="1DE2EE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等级对应分数及绩效系数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F521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C196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MicrosoftYaHei-Bold" w:hAnsi="MicrosoftYaHei-Bold" w:eastAsia="MicrosoftYaHei-Bold" w:cs="MicrosoftYaHei-Bold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/>
              </w:rPr>
              <w:t>考核等级</w:t>
            </w:r>
          </w:p>
        </w:tc>
        <w:tc>
          <w:tcPr>
            <w:tcW w:w="2130" w:type="dxa"/>
          </w:tcPr>
          <w:p w14:paraId="418CD78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MicrosoftYaHei-Bold" w:hAnsi="MicrosoftYaHei-Bold" w:eastAsia="MicrosoftYaHei-Bold" w:cs="MicrosoftYaHei-Bold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/>
              </w:rPr>
              <w:t>等级说明</w:t>
            </w:r>
          </w:p>
        </w:tc>
        <w:tc>
          <w:tcPr>
            <w:tcW w:w="2131" w:type="dxa"/>
          </w:tcPr>
          <w:p w14:paraId="4EFC7B8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MicrosoftYaHei-Bold" w:hAnsi="MicrosoftYaHei-Bold" w:eastAsia="MicrosoftYaHei-Bold" w:cs="MicrosoftYaHei-Bold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/>
              </w:rPr>
              <w:t>分数区间</w:t>
            </w:r>
          </w:p>
        </w:tc>
        <w:tc>
          <w:tcPr>
            <w:tcW w:w="2131" w:type="dxa"/>
          </w:tcPr>
          <w:p w14:paraId="3D6411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MicrosoftYaHei-Bold" w:hAnsi="MicrosoftYaHei-Bold" w:eastAsia="MicrosoftYaHei-Bold" w:cs="MicrosoftYaHei-Bold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/>
              </w:rPr>
              <w:t>绩效系数</w:t>
            </w:r>
          </w:p>
        </w:tc>
      </w:tr>
      <w:tr w14:paraId="5AA10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D0345B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</w:p>
        </w:tc>
        <w:tc>
          <w:tcPr>
            <w:tcW w:w="2130" w:type="dxa"/>
          </w:tcPr>
          <w:p w14:paraId="65333E0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卓越</w:t>
            </w:r>
          </w:p>
        </w:tc>
        <w:tc>
          <w:tcPr>
            <w:tcW w:w="2131" w:type="dxa"/>
          </w:tcPr>
          <w:p w14:paraId="542AFDD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X≥</w:t>
            </w:r>
            <w:r>
              <w:rPr>
                <w:rFonts w:hint="eastAsia" w:ascii="宋体" w:hAnsi="宋体" w:cs="宋体"/>
                <w:spacing w:val="-2"/>
                <w:sz w:val="24"/>
                <w:szCs w:val="24"/>
                <w:lang w:val="en-US" w:eastAsia="zh-CN"/>
              </w:rPr>
              <w:t>95</w:t>
            </w:r>
          </w:p>
        </w:tc>
        <w:tc>
          <w:tcPr>
            <w:tcW w:w="2131" w:type="dxa"/>
          </w:tcPr>
          <w:p w14:paraId="003128E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</w:t>
            </w:r>
          </w:p>
        </w:tc>
      </w:tr>
      <w:tr w14:paraId="6F6D3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7DC7EA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2130" w:type="dxa"/>
          </w:tcPr>
          <w:p w14:paraId="75AAA49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卓越</w:t>
            </w:r>
          </w:p>
        </w:tc>
        <w:tc>
          <w:tcPr>
            <w:tcW w:w="2131" w:type="dxa"/>
          </w:tcPr>
          <w:p w14:paraId="30BA8DB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3"/>
                <w:sz w:val="24"/>
                <w:szCs w:val="24"/>
                <w:lang w:val="en-US" w:eastAsia="zh-CN"/>
              </w:rPr>
              <w:t>90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≤X＜</w:t>
            </w:r>
            <w:r>
              <w:rPr>
                <w:rFonts w:hint="eastAsia" w:ascii="宋体" w:hAnsi="宋体" w:cs="宋体"/>
                <w:spacing w:val="-3"/>
                <w:sz w:val="24"/>
                <w:szCs w:val="24"/>
                <w:lang w:val="en-US" w:eastAsia="zh-CN"/>
              </w:rPr>
              <w:t>95</w:t>
            </w:r>
          </w:p>
        </w:tc>
        <w:tc>
          <w:tcPr>
            <w:tcW w:w="2131" w:type="dxa"/>
          </w:tcPr>
          <w:p w14:paraId="4B19998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1.2</w:t>
            </w:r>
          </w:p>
        </w:tc>
      </w:tr>
      <w:tr w14:paraId="3E3DD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2C1574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2130" w:type="dxa"/>
          </w:tcPr>
          <w:p w14:paraId="0E3F950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优秀</w:t>
            </w:r>
          </w:p>
        </w:tc>
        <w:tc>
          <w:tcPr>
            <w:tcW w:w="2131" w:type="dxa"/>
          </w:tcPr>
          <w:p w14:paraId="0D68820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1"/>
                <w:sz w:val="24"/>
                <w:szCs w:val="24"/>
                <w:lang w:val="en-US" w:eastAsia="zh-CN"/>
              </w:rPr>
              <w:t>85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≤X＜</w:t>
            </w:r>
            <w:r>
              <w:rPr>
                <w:rFonts w:hint="eastAsia" w:ascii="宋体" w:hAnsi="宋体" w:cs="宋体"/>
                <w:spacing w:val="-1"/>
                <w:sz w:val="24"/>
                <w:szCs w:val="24"/>
                <w:lang w:val="en-US" w:eastAsia="zh-CN"/>
              </w:rPr>
              <w:t>90</w:t>
            </w:r>
          </w:p>
        </w:tc>
        <w:tc>
          <w:tcPr>
            <w:tcW w:w="2131" w:type="dxa"/>
          </w:tcPr>
          <w:p w14:paraId="693DA84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1.1</w:t>
            </w:r>
          </w:p>
        </w:tc>
      </w:tr>
      <w:tr w14:paraId="044BD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29D925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2130" w:type="dxa"/>
          </w:tcPr>
          <w:p w14:paraId="219A440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称职</w:t>
            </w:r>
          </w:p>
        </w:tc>
        <w:tc>
          <w:tcPr>
            <w:tcW w:w="2131" w:type="dxa"/>
          </w:tcPr>
          <w:p w14:paraId="727033C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80</w:t>
            </w:r>
            <w:r>
              <w:rPr>
                <w:rFonts w:ascii="宋体" w:hAnsi="宋体" w:eastAsia="宋体" w:cs="宋体"/>
                <w:color w:val="333333"/>
                <w:spacing w:val="-2"/>
                <w:sz w:val="24"/>
                <w:szCs w:val="24"/>
              </w:rPr>
              <w:t>≤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X</w:t>
            </w:r>
            <w:r>
              <w:rPr>
                <w:rFonts w:ascii="宋体" w:hAnsi="宋体" w:eastAsia="宋体" w:cs="宋体"/>
                <w:color w:val="333333"/>
                <w:spacing w:val="-2"/>
                <w:sz w:val="24"/>
                <w:szCs w:val="24"/>
              </w:rPr>
              <w:t>＜</w:t>
            </w:r>
            <w:r>
              <w:rPr>
                <w:rFonts w:hint="eastAsia" w:ascii="宋体" w:hAnsi="宋体" w:cs="宋体"/>
                <w:spacing w:val="-1"/>
                <w:sz w:val="24"/>
                <w:szCs w:val="24"/>
                <w:lang w:val="en-US" w:eastAsia="zh-CN"/>
              </w:rPr>
              <w:t>85</w:t>
            </w:r>
          </w:p>
        </w:tc>
        <w:tc>
          <w:tcPr>
            <w:tcW w:w="2131" w:type="dxa"/>
          </w:tcPr>
          <w:p w14:paraId="6C0777C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1.0</w:t>
            </w:r>
          </w:p>
        </w:tc>
      </w:tr>
      <w:tr w14:paraId="5B076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8CD72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2130" w:type="dxa"/>
          </w:tcPr>
          <w:p w14:paraId="50D0B4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待改进</w:t>
            </w:r>
          </w:p>
        </w:tc>
        <w:tc>
          <w:tcPr>
            <w:tcW w:w="2131" w:type="dxa"/>
          </w:tcPr>
          <w:p w14:paraId="7724B90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65</w:t>
            </w:r>
            <w:r>
              <w:rPr>
                <w:rFonts w:ascii="宋体" w:hAnsi="宋体" w:eastAsia="宋体" w:cs="宋体"/>
                <w:color w:val="333333"/>
                <w:spacing w:val="-2"/>
                <w:sz w:val="24"/>
                <w:szCs w:val="24"/>
              </w:rPr>
              <w:t>≤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X</w:t>
            </w:r>
            <w:r>
              <w:rPr>
                <w:rFonts w:ascii="宋体" w:hAnsi="宋体" w:eastAsia="宋体" w:cs="宋体"/>
                <w:color w:val="333333"/>
                <w:spacing w:val="-2"/>
                <w:sz w:val="24"/>
                <w:szCs w:val="24"/>
              </w:rPr>
              <w:t>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80</w:t>
            </w:r>
          </w:p>
        </w:tc>
        <w:tc>
          <w:tcPr>
            <w:tcW w:w="2131" w:type="dxa"/>
          </w:tcPr>
          <w:p w14:paraId="2441054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</w:t>
            </w:r>
          </w:p>
        </w:tc>
      </w:tr>
      <w:tr w14:paraId="6353F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B04B6E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</w:t>
            </w:r>
          </w:p>
        </w:tc>
        <w:tc>
          <w:tcPr>
            <w:tcW w:w="2130" w:type="dxa"/>
          </w:tcPr>
          <w:p w14:paraId="150BA96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较差</w:t>
            </w:r>
          </w:p>
        </w:tc>
        <w:tc>
          <w:tcPr>
            <w:tcW w:w="2131" w:type="dxa"/>
          </w:tcPr>
          <w:p w14:paraId="3B17C61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X</w:t>
            </w:r>
            <w:r>
              <w:rPr>
                <w:rFonts w:ascii="宋体" w:hAnsi="宋体" w:eastAsia="宋体" w:cs="宋体"/>
                <w:color w:val="333333"/>
                <w:spacing w:val="-2"/>
                <w:sz w:val="24"/>
                <w:szCs w:val="24"/>
              </w:rPr>
              <w:t>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65</w:t>
            </w:r>
          </w:p>
        </w:tc>
        <w:tc>
          <w:tcPr>
            <w:tcW w:w="2131" w:type="dxa"/>
          </w:tcPr>
          <w:p w14:paraId="57D10B3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</w:tr>
    </w:tbl>
    <w:p w14:paraId="626D655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eastAsia="zh-CN"/>
        </w:rPr>
      </w:pPr>
      <w:r>
        <w:t>等级强制分布：S、A、B档合计占比不超过20%，E档占比不超过15%</w:t>
      </w:r>
      <w:r>
        <w:rPr>
          <w:rFonts w:hint="eastAsia"/>
          <w:lang w:eastAsia="zh-CN"/>
        </w:rPr>
        <w:t>。</w:t>
      </w:r>
    </w:p>
    <w:p w14:paraId="4728F11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7" w:name="_Toc22024"/>
      <w:r>
        <w:rPr>
          <w:rFonts w:hint="eastAsia"/>
          <w:lang w:val="en-US" w:eastAsia="zh-CN"/>
        </w:rPr>
        <w:t>绩效工资核算</w:t>
      </w:r>
      <w:bookmarkEnd w:id="27"/>
    </w:p>
    <w:p w14:paraId="7BA60A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员工月工资结构为：基本工资（70%）+ 绩效工资（30%）+ 工龄工资 + 交通补贴。</w:t>
      </w:r>
    </w:p>
    <w:p w14:paraId="136C37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实发绩效工资=绩效工资基数×对应绩效系数。</w:t>
      </w:r>
    </w:p>
    <w:p w14:paraId="5560647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_Toc254"/>
      <w:r>
        <w:rPr>
          <w:rFonts w:hint="eastAsia"/>
          <w:lang w:val="en-US" w:eastAsia="zh-CN"/>
        </w:rPr>
        <w:t>考核流程</w:t>
      </w:r>
      <w:bookmarkEnd w:id="28"/>
    </w:p>
    <w:p w14:paraId="421986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绩效计划与自评：每月26日起，员工填写《月度绩效考核表》，进行工作总结与自评，并提交下月工作计划。</w:t>
      </w:r>
    </w:p>
    <w:p w14:paraId="6C74CE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上级评价与审核：直接主管进行评分，部门负责人综合平衡后完成最终核定。</w:t>
      </w:r>
    </w:p>
    <w:p w14:paraId="0C3C395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结果汇总与归档：每月28日前，各部门将考核表及汇总表统一提交至人力资源部。</w:t>
      </w:r>
    </w:p>
    <w:p w14:paraId="257161C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28559"/>
      <w:r>
        <w:rPr>
          <w:rFonts w:hint="eastAsia"/>
          <w:lang w:val="en-US" w:eastAsia="zh-CN"/>
        </w:rPr>
        <w:t>绩效面谈与改进</w:t>
      </w:r>
      <w:bookmarkEnd w:id="29"/>
    </w:p>
    <w:p w14:paraId="13F26C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考核结束后，直接主管与员工进行绩效面谈共同填写《绩效考核面谈表》。</w:t>
      </w:r>
    </w:p>
    <w:p w14:paraId="4226C9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对考核结果为S、A的员工，应提炼并推广其优秀经验。</w:t>
      </w:r>
    </w:p>
    <w:p w14:paraId="0D5F6C9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对考核结果为D、E的员工，须制定并落实书面《绩效改进计划》。</w:t>
      </w:r>
    </w:p>
    <w:p w14:paraId="5A5FE94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Toc19632"/>
      <w:r>
        <w:rPr>
          <w:rFonts w:hint="eastAsia"/>
          <w:lang w:val="en-US" w:eastAsia="zh-CN"/>
        </w:rPr>
        <w:t>考核结果应用</w:t>
      </w:r>
      <w:bookmarkEnd w:id="30"/>
    </w:p>
    <w:p w14:paraId="7E599C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考核结果将应用于以下方面：</w:t>
      </w:r>
    </w:p>
    <w:p w14:paraId="14BB2193">
      <w:pPr>
        <w:pStyle w:val="29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作为绩效工资发放、年度调薪、年终奖金核定、岗位晋升与异动的主要依据。</w:t>
      </w:r>
    </w:p>
    <w:p w14:paraId="0A4114C2">
      <w:pPr>
        <w:pStyle w:val="29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全年月度平均考核成绩达C档及以上者，方具备年度调薪资格。</w:t>
      </w:r>
    </w:p>
    <w:p w14:paraId="04D770F6">
      <w:pPr>
        <w:pStyle w:val="29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月度考核为E档者，扣发当月年终奖；全年累计两次及以上E档者，不享受年底双薪。</w:t>
      </w:r>
    </w:p>
    <w:p w14:paraId="436705C9">
      <w:pPr>
        <w:pStyle w:val="29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连续两个月考核为E档者，公司将予以岗位调整、降薪或降职处理。</w:t>
      </w:r>
    </w:p>
    <w:p w14:paraId="4BA04BF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1" w:name="_Toc5442"/>
      <w:r>
        <w:rPr>
          <w:rFonts w:hint="eastAsia"/>
          <w:lang w:val="en-US" w:eastAsia="zh-CN"/>
        </w:rPr>
        <w:t>绩效考核申诉</w:t>
      </w:r>
      <w:bookmarkEnd w:id="31"/>
    </w:p>
    <w:p w14:paraId="358E8E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员工对考核结果有异议，可在结果反馈后3个工作日内向人力资源部提交书面申诉。</w:t>
      </w:r>
    </w:p>
    <w:p w14:paraId="2074BC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人力资源部组织成立复核小组进行调查与裁定，申诉结果即为最终结论。</w:t>
      </w:r>
    </w:p>
    <w:p w14:paraId="09D99F7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19550"/>
      <w:r>
        <w:rPr>
          <w:rFonts w:hint="eastAsia"/>
          <w:lang w:val="en-US" w:eastAsia="zh-CN"/>
        </w:rPr>
        <w:t>考核指标</w:t>
      </w:r>
      <w:bookmarkEnd w:id="32"/>
    </w:p>
    <w:p w14:paraId="695F93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人员绩效考核指标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 w14:paraId="31D4D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2AED92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 w14:paraId="17A8E2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 w14:paraId="3EFAC0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 w14:paraId="1C7F87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 w14:paraId="00BE91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 w14:paraId="39CDF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104CF93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 w14:paraId="1D6FA25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绩效考核合格率</w:t>
            </w:r>
          </w:p>
        </w:tc>
        <w:tc>
          <w:tcPr>
            <w:tcW w:w="3637" w:type="dxa"/>
          </w:tcPr>
          <w:p w14:paraId="721DE4A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考核合格人数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考核总人数）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*100%</w:t>
            </w:r>
          </w:p>
        </w:tc>
        <w:tc>
          <w:tcPr>
            <w:tcW w:w="1107" w:type="dxa"/>
          </w:tcPr>
          <w:p w14:paraId="7503DF8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vertAlign w:val="baseline"/>
                <w:lang w:val="en-US" w:eastAsia="zh-CN"/>
              </w:rPr>
              <w:t>月度</w:t>
            </w:r>
          </w:p>
        </w:tc>
        <w:tc>
          <w:tcPr>
            <w:tcW w:w="1094" w:type="dxa"/>
          </w:tcPr>
          <w:p w14:paraId="4582107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 w14:paraId="31A292A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33" w:name="bookmark3"/>
      <w:bookmarkEnd w:id="33"/>
      <w:bookmarkStart w:id="34" w:name="_Toc17424"/>
      <w:bookmarkStart w:id="35" w:name="_Toc8834"/>
      <w:r>
        <w:rPr>
          <w:rStyle w:val="38"/>
          <w:rFonts w:hint="eastAsia" w:eastAsia="宋体"/>
          <w:lang w:val="en-US" w:eastAsia="zh-CN"/>
        </w:rPr>
        <w:t>附则</w:t>
      </w:r>
      <w:bookmarkEnd w:id="34"/>
      <w:bookmarkEnd w:id="35"/>
    </w:p>
    <w:p w14:paraId="569DAD2C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人力资源部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79934E08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39CFFEB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bookmark14"/>
      <w:bookmarkEnd w:id="36"/>
      <w:bookmarkStart w:id="37" w:name="_Toc25567"/>
      <w:r>
        <w:rPr>
          <w:rFonts w:hint="eastAsia"/>
          <w:lang w:val="en-US" w:eastAsia="zh-CN"/>
        </w:rPr>
        <w:t>附件</w:t>
      </w:r>
      <w:bookmarkEnd w:id="37"/>
    </w:p>
    <w:p w14:paraId="6677F385">
      <w:pPr>
        <w:pStyle w:val="29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《技术支持人员绩效考核表》</w:t>
      </w:r>
    </w:p>
    <w:p w14:paraId="5D84EA72">
      <w:pPr>
        <w:pStyle w:val="29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《运维人员绩效考核表》</w:t>
      </w:r>
    </w:p>
    <w:p w14:paraId="2BE5EEDF">
      <w:pPr>
        <w:pStyle w:val="29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《绩效考核面谈表》</w:t>
      </w:r>
    </w:p>
    <w:p w14:paraId="3ED523C9">
      <w:pPr>
        <w:pStyle w:val="29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《部门绩效考核汇总表》</w:t>
      </w:r>
    </w:p>
    <w:p w14:paraId="1C85D1E0">
      <w:pPr>
        <w:pStyle w:val="29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《绩效考核申诉表》</w:t>
      </w:r>
    </w:p>
    <w:p w14:paraId="040EA6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8" w:name="_Toc29149"/>
      <w:r>
        <w:rPr>
          <w:rFonts w:hint="eastAsia"/>
          <w:lang w:val="en-US" w:eastAsia="zh-CN"/>
        </w:rPr>
        <w:t>记录</w:t>
      </w:r>
      <w:bookmarkEnd w:id="38"/>
    </w:p>
    <w:p w14:paraId="4639EE3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YaHei-Bold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8647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8F7A93DD"/>
    <w:multiLevelType w:val="singleLevel"/>
    <w:tmpl w:val="8F7A93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5B4FF1B"/>
    <w:multiLevelType w:val="singleLevel"/>
    <w:tmpl w:val="A5B4FF1B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B2BA9395"/>
    <w:multiLevelType w:val="singleLevel"/>
    <w:tmpl w:val="B2BA939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E8583C4"/>
    <w:multiLevelType w:val="singleLevel"/>
    <w:tmpl w:val="BE8583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D856000"/>
    <w:multiLevelType w:val="singleLevel"/>
    <w:tmpl w:val="DD85600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E3FBE269"/>
    <w:multiLevelType w:val="singleLevel"/>
    <w:tmpl w:val="E3FBE2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59BDD2D"/>
    <w:multiLevelType w:val="singleLevel"/>
    <w:tmpl w:val="359BDD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8776009"/>
    <w:multiLevelType w:val="singleLevel"/>
    <w:tmpl w:val="5877600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5CE1A4D3"/>
    <w:multiLevelType w:val="singleLevel"/>
    <w:tmpl w:val="5CE1A4D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6503864A"/>
    <w:multiLevelType w:val="singleLevel"/>
    <w:tmpl w:val="650386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7964885"/>
    <w:multiLevelType w:val="singleLevel"/>
    <w:tmpl w:val="7796488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0"/>
  </w:num>
  <w:num w:numId="5">
    <w:abstractNumId w:val="5"/>
  </w:num>
  <w:num w:numId="6">
    <w:abstractNumId w:val="4"/>
  </w:num>
  <w:num w:numId="7">
    <w:abstractNumId w:val="9"/>
  </w:num>
  <w:num w:numId="8">
    <w:abstractNumId w:val="1"/>
  </w:num>
  <w:num w:numId="9">
    <w:abstractNumId w:val="12"/>
  </w:num>
  <w:num w:numId="10">
    <w:abstractNumId w:val="2"/>
  </w:num>
  <w:num w:numId="11">
    <w:abstractNumId w:val="11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FEC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styleId="43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3340</Words>
  <Characters>3590</Characters>
  <Lines>0</Lines>
  <Paragraphs>0</Paragraphs>
  <TotalTime>0</TotalTime>
  <ScaleCrop>false</ScaleCrop>
  <LinksUpToDate>false</LinksUpToDate>
  <CharactersWithSpaces>3727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2026-01-11T15:43:27Z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