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642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3007"/>
      <w:r>
        <w:rPr>
          <w:rFonts w:hint="eastAsia"/>
          <w:lang w:val="en-US" w:eastAsia="zh-CN"/>
        </w:rPr>
        <w:t>服务级别管理制度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_Toc10642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服务级别管理制度</w:t>
          </w:r>
          <w:r>
            <w:tab/>
          </w:r>
          <w:r>
            <w:fldChar w:fldCharType="begin"/>
          </w:r>
          <w:r>
            <w:instrText xml:space="preserve"> PAGEREF _Toc13007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_Toc12550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_Toc18616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岗位职责</w:t>
          </w:r>
          <w:r>
            <w:tab/>
          </w:r>
          <w:r>
            <w:fldChar w:fldCharType="begin"/>
          </w:r>
          <w:r>
            <w:instrText xml:space="preserve"> PAGEREF _Toc17865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_Toc8299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_Toc31471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质量效能部</w:t>
          </w:r>
          <w:r>
            <w:tab/>
          </w:r>
          <w:r>
            <w:fldChar w:fldCharType="begin"/>
          </w:r>
          <w:r>
            <w:instrText xml:space="preserve"> PAGEREF _Toc19541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_Toc5313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_Toc10069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服务目录</w:t>
          </w:r>
          <w:r>
            <w:tab/>
          </w:r>
          <w:r>
            <w:fldChar w:fldCharType="begin"/>
          </w:r>
          <w:r>
            <w:instrText xml:space="preserve"> PAGEREF _Toc1789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服务级别协议</w:t>
          </w:r>
          <w:r>
            <w:tab/>
          </w:r>
          <w:r>
            <w:fldChar w:fldCharType="begin"/>
          </w:r>
          <w:r>
            <w:instrText xml:space="preserve"> PAGEREF _Toc20752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支持合同</w:t>
          </w:r>
          <w:r>
            <w:tab/>
          </w:r>
          <w:r>
            <w:fldChar w:fldCharType="begin"/>
          </w:r>
          <w:r>
            <w:instrText xml:space="preserve"> PAGEREF _Toc27177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_Toc24981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服务级别管理全生命周期</w:t>
          </w:r>
          <w:r>
            <w:tab/>
          </w:r>
          <w:r>
            <w:fldChar w:fldCharType="begin"/>
          </w:r>
          <w:r>
            <w:instrText xml:space="preserve"> PAGEREF _Toc30998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流程触发与启动</w:t>
          </w:r>
          <w:r>
            <w:tab/>
          </w:r>
          <w:r>
            <w:fldChar w:fldCharType="begin"/>
          </w:r>
          <w:r>
            <w:instrText xml:space="preserve"> PAGEREF _Toc10098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服务需求管理</w:t>
          </w:r>
          <w:r>
            <w:tab/>
          </w:r>
          <w:r>
            <w:fldChar w:fldCharType="begin"/>
          </w:r>
          <w:r>
            <w:instrText xml:space="preserve"> PAGEREF _Toc13108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服务级别协议制定</w:t>
          </w:r>
          <w:r>
            <w:tab/>
          </w:r>
          <w:r>
            <w:fldChar w:fldCharType="begin"/>
          </w:r>
          <w:r>
            <w:instrText xml:space="preserve"> PAGEREF _Toc11042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协议内容规范</w:t>
          </w:r>
          <w:r>
            <w:tab/>
          </w:r>
          <w:r>
            <w:fldChar w:fldCharType="begin"/>
          </w:r>
          <w:r>
            <w:instrText xml:space="preserve"> PAGEREF _Toc4781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内部协同机制</w:t>
          </w:r>
          <w:r>
            <w:tab/>
          </w:r>
          <w:r>
            <w:fldChar w:fldCharType="begin"/>
          </w:r>
          <w:r>
            <w:instrText xml:space="preserve"> PAGEREF _Toc19257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服务目录管理</w:t>
          </w:r>
          <w:r>
            <w:tab/>
          </w:r>
          <w:r>
            <w:fldChar w:fldCharType="begin"/>
          </w:r>
          <w:r>
            <w:instrText xml:space="preserve"> PAGEREF _Toc31864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服务目录结构</w:t>
          </w:r>
          <w:r>
            <w:tab/>
          </w:r>
          <w:r>
            <w:fldChar w:fldCharType="begin"/>
          </w:r>
          <w:r>
            <w:instrText xml:space="preserve"> PAGEREF _Toc7877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服务目录维护</w:t>
          </w:r>
          <w:r>
            <w:tab/>
          </w:r>
          <w:r>
            <w:fldChar w:fldCharType="begin"/>
          </w:r>
          <w:r>
            <w:instrText xml:space="preserve"> PAGEREF _Toc432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服务绩效监控</w:t>
          </w:r>
          <w:r>
            <w:tab/>
          </w:r>
          <w:r>
            <w:fldChar w:fldCharType="begin"/>
          </w:r>
          <w:r>
            <w:instrText xml:space="preserve"> PAGEREF _Toc30635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监控体系建立</w:t>
          </w:r>
          <w:r>
            <w:tab/>
          </w:r>
          <w:r>
            <w:fldChar w:fldCharType="begin"/>
          </w:r>
          <w:r>
            <w:instrText xml:space="preserve"> PAGEREF _Toc1269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服务报告管理</w:t>
          </w:r>
          <w:r>
            <w:tab/>
          </w:r>
          <w:r>
            <w:fldChar w:fldCharType="begin"/>
          </w:r>
          <w:r>
            <w:instrText xml:space="preserve"> PAGEREF _Toc27925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服务评审与改进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定期评审机制</w:t>
          </w:r>
          <w:r>
            <w:tab/>
          </w:r>
          <w:r>
            <w:fldChar w:fldCharType="begin"/>
          </w:r>
          <w:r>
            <w:instrText xml:space="preserve"> PAGEREF _Toc22059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持续改进循环</w:t>
          </w:r>
          <w:r>
            <w:tab/>
          </w:r>
          <w:r>
            <w:fldChar w:fldCharType="begin"/>
          </w:r>
          <w:r>
            <w:instrText xml:space="preserve"> PAGEREF _Toc595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服务级别变更管理</w:t>
          </w:r>
          <w:r>
            <w:tab/>
          </w:r>
          <w:r>
            <w:fldChar w:fldCharType="begin"/>
          </w:r>
          <w:r>
            <w:instrText xml:space="preserve"> PAGEREF _Toc8102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变更触发条件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变更控制流程</w:t>
          </w:r>
          <w:r>
            <w:tab/>
          </w:r>
          <w:r>
            <w:fldChar w:fldCharType="begin"/>
          </w:r>
          <w:r>
            <w:instrText xml:space="preserve"> PAGEREF _Toc31498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关键绩效指标</w:t>
          </w:r>
          <w:r>
            <w:tab/>
          </w:r>
          <w:r>
            <w:fldChar w:fldCharType="begin"/>
          </w:r>
          <w:r>
            <w:instrText xml:space="preserve"> PAGEREF _Toc31339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_Toc7294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_Toc17042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_Toc9375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0668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550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为规范公司运维服务的级别管理，通过一套固定的流程对服务绩效进行协商、监控、评价与报告，确保服务质量既符合业务需求与成本约束，又能持续提升客户满意度，并有效督促服务提供方，特制定本制度。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287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本制度适用于公司所有为客户提供的运维服务，涵盖服务级别的定义、协商、监控、评审与改进全过程。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616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客户导向原则：服务级别的设定必须以客户业务需求和期望为中心。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量化可控原则：服务目标应可测量、可监控、可管理。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协商一致原则：所有服务级别协议均需与客户充分沟通、协商并达成一致。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持续改进原则：定期评审服务绩效，推动服务质量的持续提升。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865"/>
      <w:r>
        <w:rPr>
          <w:rFonts w:hint="default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299"/>
      <w:r>
        <w:rPr>
          <w:rFonts w:hint="eastAsia"/>
          <w:lang w:val="en-US" w:eastAsia="zh-CN"/>
        </w:rPr>
        <w:t>运维管理部经理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负责编制与更新服务目录；定义和维护服务级别管理过程；跟踪、监控和评审服务级别协议的执行情况。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471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负责识别客户需求，与客户协商并签订《服务级别协议》；依据协议完成服务规划与部署；监测服务质量，落实改进措施；组织客户进行服务评价，并调整下一周期的协议。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9541"/>
      <w:r>
        <w:rPr>
          <w:rFonts w:hint="default"/>
          <w:lang w:val="en-US" w:eastAsia="zh-CN"/>
        </w:rPr>
        <w:t>质量效能部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负责监督本流程的执行质量，并参与服务级别目标的内部评审。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313"/>
      <w:r>
        <w:rPr>
          <w:rFonts w:hint="default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069"/>
      <w:r>
        <w:rPr>
          <w:rFonts w:hint="default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789"/>
      <w:r>
        <w:rPr>
          <w:rFonts w:hint="default"/>
          <w:lang w:val="en-US" w:eastAsia="zh-CN"/>
        </w:rPr>
        <w:t>服务目录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服务提供方以客户语言记录的、关于所有可提供服务的概要信息文件，是协调客户期望、促进双方理解的重要沟通工具。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0752"/>
      <w:r>
        <w:rPr>
          <w:rFonts w:hint="default"/>
          <w:lang w:val="en-US" w:eastAsia="zh-CN"/>
        </w:rPr>
        <w:t>服务级别协议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服务提供方与客户就服务的质量、性能、范围等方面所达成的双方共同认可的书面协议。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7177"/>
      <w:r>
        <w:rPr>
          <w:rFonts w:hint="default"/>
          <w:lang w:val="en-US" w:eastAsia="zh-CN"/>
        </w:rPr>
        <w:t>支持合同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为支撑SLA的履行，与服务提供方内部团队或第三方供应商签订的关于技术支持、资源保障等方面的协议。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981"/>
      <w:r>
        <w:rPr>
          <w:rFonts w:hint="default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998"/>
      <w:r>
        <w:rPr>
          <w:rFonts w:hint="eastAsia"/>
          <w:lang w:val="en-US" w:eastAsia="zh-CN"/>
        </w:rPr>
        <w:t>服务级别管理全生命周期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098"/>
      <w:r>
        <w:rPr>
          <w:rFonts w:hint="eastAsia"/>
          <w:lang w:val="en-US" w:eastAsia="zh-CN"/>
        </w:rPr>
        <w:t>流程触发与启动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当出现以下情况之一时，必须启动服务级别管理流程：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有新的运维服务项目被批准时。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现有服务发生重大变更并被批准时。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公司服务战略、运维能力或资源支持发生本质性变动，需要更新服务级别时。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3108"/>
      <w:r>
        <w:rPr>
          <w:rFonts w:hint="default"/>
          <w:lang w:val="en-US" w:eastAsia="zh-CN"/>
        </w:rPr>
        <w:t>服务需求管理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需求调研：采用标准化问卷、深度访谈、工作坊等多种形式，全面收集客户业务需求和服务期望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需求分析：将客户需求转化为可量化的服务指标，建立需求优先级矩阵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需求确认：形成《客户服务需求说明书》，经双方确认后作为SLA制定基础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042"/>
      <w:r>
        <w:rPr>
          <w:rFonts w:hint="default"/>
          <w:lang w:val="en-US" w:eastAsia="zh-CN"/>
        </w:rPr>
        <w:t>服务级别协议制定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4781"/>
      <w:r>
        <w:rPr>
          <w:rFonts w:hint="default"/>
          <w:lang w:val="en-US" w:eastAsia="zh-CN"/>
        </w:rPr>
        <w:t>协议内容规范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SLA必须包含以下核心内容：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服务概述和目标业务价值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服务范围和排除范围说明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服务时间安排和响应时效承诺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关键绩效指标（KPI）及测量方法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服务报告内容和频次要求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双方责任和义务界定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服务费用结构和计费方式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违约处理和争议解决机制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协议变更和终止条款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9257"/>
      <w:r>
        <w:rPr>
          <w:rFonts w:hint="default"/>
          <w:lang w:val="en-US" w:eastAsia="zh-CN"/>
        </w:rPr>
        <w:t>内部协同机制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建立跨部门评审流程，确保SLA的技术可行性、财务合理性和法律合规性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制定支撑合同（OLA），明确内部团队的服务承诺和责任分工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与第三方供应商签订 underpinning contract，确保外部资源支持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1864"/>
      <w:r>
        <w:rPr>
          <w:rFonts w:hint="default"/>
          <w:lang w:val="en-US" w:eastAsia="zh-CN"/>
        </w:rPr>
        <w:t>服务目录管理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7877"/>
      <w:r>
        <w:rPr>
          <w:rFonts w:hint="default"/>
          <w:lang w:val="en-US" w:eastAsia="zh-CN"/>
        </w:rPr>
        <w:t>服务目录结构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建立分层级的服务目录体系：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业务服务目录：以客户业务语言描述服务价值和成果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技术服务目录：以技术术语描述服务组件和配置项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内部服务目录：定义内部支撑服务和资源分配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432"/>
      <w:r>
        <w:rPr>
          <w:rFonts w:hint="default"/>
          <w:lang w:val="en-US" w:eastAsia="zh-CN"/>
        </w:rPr>
        <w:t>服务目录维护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每季度更新服务目录，确保与实际情况一致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建立服务目录变更控制流程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定期向客户发布服务目录版本更新说明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0635"/>
      <w:r>
        <w:rPr>
          <w:rFonts w:hint="default"/>
          <w:lang w:val="en-US" w:eastAsia="zh-CN"/>
        </w:rPr>
        <w:t>服务绩效监控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269"/>
      <w:r>
        <w:rPr>
          <w:rFonts w:hint="default"/>
          <w:lang w:val="en-US" w:eastAsia="zh-CN"/>
        </w:rPr>
        <w:t>监控体系建立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设计完整的KPI监控指标体系，涵盖可用性、可靠性、响应性等维度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部署自动化监控工具，实现服务数据的实时采集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建立数据质量控制机制，确保监控数据的准确性和完整性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7925"/>
      <w:r>
        <w:rPr>
          <w:rFonts w:hint="default"/>
          <w:lang w:val="en-US" w:eastAsia="zh-CN"/>
        </w:rPr>
        <w:t>服务报告管理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报告周期：按周、月、季度生成不同深度的服务报告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报告内容：包括KPI达成情况、趋势分析、重大事件回顾、改进计划等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报告分发：确保报告及时送达相关干系人，并收集反馈意见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1181"/>
      <w:r>
        <w:rPr>
          <w:rFonts w:hint="default"/>
          <w:lang w:val="en-US" w:eastAsia="zh-CN"/>
        </w:rPr>
        <w:t>服务评审与改进</w:t>
      </w:r>
      <w:bookmarkEnd w:id="2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2059"/>
      <w:r>
        <w:rPr>
          <w:rFonts w:hint="default"/>
          <w:lang w:val="en-US" w:eastAsia="zh-CN"/>
        </w:rPr>
        <w:t>定期评审机制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季度业务评审：与客户共同回顾服务绩效，讨论业务需求变化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月度运营评审：内部评估服务交付情况，分析运营问题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专项评审：针对重大事件或性能偏差进行深度分析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595"/>
      <w:r>
        <w:rPr>
          <w:rFonts w:hint="default"/>
          <w:lang w:val="en-US" w:eastAsia="zh-CN"/>
        </w:rPr>
        <w:t>持续改进循环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建立系统化的改进机制：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分析服务差距的根本原因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制定具体的改进措施和行动计划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跟踪改进措施的执行效果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将有效实践标准化并推广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8102"/>
      <w:r>
        <w:rPr>
          <w:rFonts w:hint="default"/>
          <w:lang w:val="en-US" w:eastAsia="zh-CN"/>
        </w:rPr>
        <w:t>服务级别变更管理</w:t>
      </w:r>
      <w:bookmarkEnd w:id="3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3369"/>
      <w:r>
        <w:rPr>
          <w:rFonts w:hint="default"/>
          <w:lang w:val="en-US" w:eastAsia="zh-CN"/>
        </w:rPr>
        <w:t>变更触发条件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客户业务需求发生重大变化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服务绩效持续不达标需要调整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技术环境或服务模式发生变更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成本结构或资源状况发生变化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31498"/>
      <w:r>
        <w:rPr>
          <w:rFonts w:hint="default"/>
          <w:lang w:val="en-US" w:eastAsia="zh-CN"/>
        </w:rPr>
        <w:t>变更控制流程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变更请求的提交和评估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变更影响分析和方案制定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客户沟通和协商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变更实施和效果验证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31339"/>
      <w:r>
        <w:rPr>
          <w:rFonts w:hint="default"/>
          <w:lang w:val="en-US" w:eastAsia="zh-CN"/>
        </w:rPr>
        <w:t>关键绩效指标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为衡量服务级别管理成效，设定以下核心考核指标：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408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t>(满足服务级别的事件数/事件总数)*100%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7294"/>
      <w:r>
        <w:rPr>
          <w:rFonts w:hint="default"/>
          <w:lang w:val="en-US" w:eastAsia="zh-CN"/>
        </w:rPr>
        <w:t>附则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本制度最终解释权和修订权归</w:t>
      </w: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7042"/>
      <w:r>
        <w:rPr>
          <w:rFonts w:hint="default"/>
          <w:lang w:val="en-US" w:eastAsia="zh-CN"/>
        </w:rPr>
        <w:t>附件</w:t>
      </w:r>
      <w:bookmarkEnd w:id="3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《服务级别协议（模板）》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《服务级别管理监控记录表》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9375"/>
      <w:r>
        <w:rPr>
          <w:rFonts w:hint="default"/>
          <w:lang w:val="en-US" w:eastAsia="zh-CN"/>
        </w:rPr>
        <w:t>记录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《服务报告》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《服务级别评审会议纪要》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55C7C76"/>
    <w:multiLevelType w:val="singleLevel"/>
    <w:tmpl w:val="B55C7C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A226E6"/>
    <w:multiLevelType w:val="singleLevel"/>
    <w:tmpl w:val="D8A226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CBFE8F"/>
    <w:multiLevelType w:val="singleLevel"/>
    <w:tmpl w:val="1ACBFE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FDF9281"/>
    <w:multiLevelType w:val="singleLevel"/>
    <w:tmpl w:val="1FDF92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70987C9"/>
    <w:multiLevelType w:val="singleLevel"/>
    <w:tmpl w:val="370987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77A7C3"/>
    <w:multiLevelType w:val="singleLevel"/>
    <w:tmpl w:val="6477A7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2269</Words>
  <Characters>2552</Characters>
  <Application>Microsoft Office Word</Application>
  <DocSecurity>0</DocSecurity>
  <Lines>0</Lines>
  <Paragraphs>0</Paragraphs>
  <ScaleCrop>false</ScaleCrop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