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27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193"/>
      <w:r>
        <w:rPr>
          <w:rFonts w:hint="eastAsia"/>
          <w:lang w:val="en-US" w:eastAsia="zh-CN"/>
        </w:rPr>
        <w:t>服务报告管理制度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_Toc15193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_Toc11691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_Toc9414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_Toc16844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服务报告</w:t>
          </w:r>
          <w:r>
            <w:tab/>
          </w:r>
          <w:r>
            <w:fldChar w:fldCharType="begin"/>
          </w:r>
          <w:r>
            <w:instrText xml:space="preserve"> PAGEREF _Toc20336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被动服务报告</w:t>
          </w:r>
          <w:r>
            <w:tab/>
          </w:r>
          <w:r>
            <w:fldChar w:fldCharType="begin"/>
          </w:r>
          <w:r>
            <w:instrText xml:space="preserve"> PAGEREF _Toc6767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主动服务报告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进展服务报告</w:t>
          </w:r>
          <w:r>
            <w:tab/>
          </w:r>
          <w:r>
            <w:fldChar w:fldCharType="begin"/>
          </w:r>
          <w:r>
            <w:instrText xml:space="preserve"> PAGEREF _Toc31502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_Toc18099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服务报告全生命周期管理</w:t>
          </w:r>
          <w:r>
            <w:tab/>
          </w:r>
          <w:r>
            <w:fldChar w:fldCharType="begin"/>
          </w:r>
          <w:r>
            <w:instrText xml:space="preserve"> PAGEREF _Toc11546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报告策划与定义</w:t>
          </w:r>
          <w:r>
            <w:tab/>
          </w:r>
          <w:r>
            <w:fldChar w:fldCharType="begin"/>
          </w:r>
          <w:r>
            <w:instrText xml:space="preserve"> PAGEREF _Toc24849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报告计划制定</w:t>
          </w:r>
          <w:r>
            <w:tab/>
          </w:r>
          <w:r>
            <w:fldChar w:fldCharType="begin"/>
          </w:r>
          <w:r>
            <w:instrText xml:space="preserve"> PAGEREF _Toc1564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报告类型与内容规范</w:t>
          </w:r>
          <w:r>
            <w:tab/>
          </w:r>
          <w:r>
            <w:fldChar w:fldCharType="begin"/>
          </w:r>
          <w:r>
            <w:instrText xml:space="preserve"> PAGEREF _Toc12508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报告分类体系</w:t>
          </w:r>
          <w:r>
            <w:tab/>
          </w:r>
          <w:r>
            <w:fldChar w:fldCharType="begin"/>
          </w:r>
          <w:r>
            <w:instrText xml:space="preserve"> PAGEREF _Toc3302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报告内容标准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数据质量管理</w:t>
          </w:r>
          <w:r>
            <w:tab/>
          </w:r>
          <w:r>
            <w:fldChar w:fldCharType="begin"/>
          </w:r>
          <w:r>
            <w:instrText xml:space="preserve"> PAGEREF _Toc19463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数据采集规范</w:t>
          </w:r>
          <w:r>
            <w:tab/>
          </w:r>
          <w:r>
            <w:fldChar w:fldCharType="begin"/>
          </w:r>
          <w:r>
            <w:instrText xml:space="preserve"> PAGEREF _Toc22882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数据质量控制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报告生成与评审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报告生成流程</w:t>
          </w:r>
          <w:r>
            <w:tab/>
          </w:r>
          <w:r>
            <w:fldChar w:fldCharType="begin"/>
          </w:r>
          <w:r>
            <w:instrText xml:space="preserve"> PAGEREF _Toc6806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多级评审机制</w:t>
          </w:r>
          <w:r>
            <w:tab/>
          </w:r>
          <w:r>
            <w:fldChar w:fldCharType="begin"/>
          </w:r>
          <w:r>
            <w:instrText xml:space="preserve"> PAGEREF _Toc4996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报告分发与使用</w:t>
          </w:r>
          <w:r>
            <w:tab/>
          </w:r>
          <w:r>
            <w:fldChar w:fldCharType="begin"/>
          </w:r>
          <w:r>
            <w:instrText xml:space="preserve"> PAGEREF _Toc303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分发管理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效果评估</w:t>
          </w:r>
          <w:r>
            <w:tab/>
          </w:r>
          <w:r>
            <w:fldChar w:fldCharType="begin"/>
          </w:r>
          <w:r>
            <w:instrText xml:space="preserve"> PAGEREF _Toc164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报告归档与知识管理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rPr>
              <w:rFonts w:hint="eastAsia"/>
            </w:rPr>
            <w:t>归档管理</w:t>
          </w:r>
          <w:r>
            <w:tab/>
          </w:r>
          <w:r>
            <w:fldChar w:fldCharType="begin"/>
          </w:r>
          <w:r>
            <w:instrText xml:space="preserve"> PAGEREF _Toc29351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rPr>
              <w:rFonts w:hint="eastAsia"/>
            </w:rPr>
            <w:t>知识转化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_Toc10604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_Toc10943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_Toc13309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34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" w:name="_Toc18465"/>
      <w:r>
        <w:rPr>
          <w:rFonts w:hint="eastAsia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为规范公司运维服务报告的编制、评审、提交与归档过程，确保报告内容可靠、准确，能够有效反映服务级别协议的达成情况，支持管理层决策，并驱动服务的持续改进，特制定本制度。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3231"/>
      <w:r>
        <w:rPr>
          <w:rFonts w:hint="eastAsia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本制度适用于运维管理部为满足客户及内部管理需求，而进行的服务报告策划、生成与分发的全过程。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2855"/>
      <w:r>
        <w:rPr>
          <w:rFonts w:hint="eastAsia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准确性原则：报告数据必须真实、准确，分析结论应基于客观事实。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及时性原则：报告应按计划的时间周期准时生成与提交。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相关性原则：报告内容应聚焦于关键服务指标，满足不同受众的决策需求。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持续改进原则：报告应能揭示服务差距，为制定纠正与预防措施提供输入。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4533"/>
      <w:r>
        <w:rPr>
          <w:rFonts w:hint="eastAsia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294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负责识别报告需求、定义报告类型、编写《服务报告计划》、收集分析数据、编制《服务报告》，并推动报告分发与归档。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11691"/>
      <w:r>
        <w:rPr>
          <w:rFonts w:hint="eastAsia"/>
        </w:rPr>
        <w:t>运维管理部经理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负责审核并批准《服务报告计划》与《服务报告》，监督本制度的执行情况。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9414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负责</w:t>
      </w:r>
      <w:r>
        <w:rPr>
          <w:rFonts w:hint="eastAsia"/>
          <w:lang w:val="en-US" w:eastAsia="zh-CN"/>
        </w:rPr>
        <w:t>提供准</w:t>
      </w:r>
      <w:r>
        <w:rPr>
          <w:rFonts w:hint="eastAsia"/>
        </w:rPr>
        <w:t>确、及时的基础流程数据，支持服务报告的编制。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6844"/>
      <w:r>
        <w:rPr>
          <w:rFonts w:hint="eastAsia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9258"/>
      <w:r>
        <w:rPr>
          <w:rFonts w:hint="eastAsia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0336"/>
      <w:r>
        <w:rPr>
          <w:rFonts w:hint="eastAsia"/>
        </w:rPr>
        <w:t>服务报告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基于服务数据，对服务绩效进行分析和总结的正式文件，用于向客户和管理层沟通服务现状、趋势和改进措施。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6767"/>
      <w:r>
        <w:rPr>
          <w:rFonts w:hint="eastAsia"/>
        </w:rPr>
        <w:t>被动服务报告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主要报告已经发生的服务绩效，包括与SLA目标的对比、不符合项、工作量特性及重大事件回顾等。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8228"/>
      <w:r>
        <w:rPr>
          <w:rFonts w:hint="eastAsia"/>
        </w:rPr>
        <w:t>主动服务报告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侧重于趋势分析和预警，预测潜在的服务风险或SLA违规，以支持预防性措施的制定。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1502"/>
      <w:r>
        <w:rPr>
          <w:rFonts w:hint="eastAsia"/>
        </w:rPr>
        <w:t>进展服务报告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主要报告未来计划，包括工作量预测、变更计划及可能发生的事件预告。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8099"/>
      <w:r>
        <w:rPr>
          <w:rFonts w:hint="eastAsia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1546"/>
      <w:r>
        <w:rPr>
          <w:rFonts w:hint="eastAsia"/>
        </w:rPr>
        <w:t>服务报告全生命周期管理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4849"/>
      <w:r>
        <w:rPr>
          <w:rFonts w:hint="eastAsia"/>
        </w:rPr>
        <w:t>报告策划与定义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建立系统化的报告策划机制，确保服务报告的有效性和针对性：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需求分析：运维项目经理应定期（至少每半年一次）与客户及内部管理层沟通，识别报告需求变化，更新《服务报告需求清单》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受众分析：针对不同受众（如客户管理层、业务部门、技术团队）定义差异化的报告内容和呈现形式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指标定义：基于服务级别协议（SLA）和运营级别协议（OLA），明确报告中需要包含的核心指标及其计算方式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564"/>
      <w:r>
        <w:rPr>
          <w:rFonts w:hint="eastAsia"/>
        </w:rPr>
        <w:t>报告计划制定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报告矩阵：建立服务报告矩阵，明确各类报告的频次、提交时间、责任人和受众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计划审批：《服务报告计划》需经运维管理部经理审核批准，重大变更需重新评审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计划发布：批准后的报告计划应在相关方间共享，确保各方预期一致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12508"/>
      <w:r>
        <w:rPr>
          <w:rFonts w:hint="eastAsia"/>
        </w:rPr>
        <w:t>报告类型与内容规范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3302"/>
      <w:r>
        <w:rPr>
          <w:rFonts w:hint="eastAsia"/>
        </w:rPr>
        <w:t>报告分类体系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建立完整的报告分类体系，满足不同管理需求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服务报告分类体系如表4-1所示。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服务报告分类体系表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提交频次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运维绩效报告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SLA达成率情况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服务质量报告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可用性、连续性、容量报告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风险预警报告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趋势分析、风险识别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改进进展报告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改进措施执行情况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9751"/>
      <w:r>
        <w:rPr>
          <w:rFonts w:hint="eastAsia"/>
        </w:rPr>
        <w:t>报告内容标准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各类报告应包含以下核心内容：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执行摘要：关键发现和建议的概要说明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绩效分析：与目标的对比分析、趋势识别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根本原因分析：重大偏差的根本原因分析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改进建议：具体的纠正和预防措施建议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</w:rPr>
      </w:pPr>
      <w:r>
        <w:rPr>
          <w:rFonts w:hint="eastAsia"/>
        </w:rPr>
        <w:t>行动计划：明确的责任分工和时间表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19463"/>
      <w:r>
        <w:rPr>
          <w:rFonts w:hint="eastAsia"/>
        </w:rPr>
        <w:t>数据质量管理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22882"/>
      <w:bookmarkStart w:id="25" w:name="_GoBack"/>
      <w:bookmarkEnd w:id="25"/>
      <w:r>
        <w:rPr>
          <w:rFonts w:hint="eastAsia"/>
        </w:rPr>
        <w:t>数据采集规范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数据源管理：建立数据源清单，明确各数据源的责任人和质量要求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采集频率：根据指标特性设定合理的采集频率，确保数据时效性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数据验证：建立数据验证机制，包括完整性检查、合理性校验等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30908"/>
      <w:r>
        <w:rPr>
          <w:rFonts w:hint="eastAsia"/>
        </w:rPr>
        <w:t>数据质量控制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质量指标：设定数据准确性、完整性、及时性等质量指标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异常处理：建立数据异常识别和处理流程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质量审计：定期对数据质量进行审计，确保数据可靠性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13726"/>
      <w:r>
        <w:rPr>
          <w:rFonts w:hint="eastAsia"/>
        </w:rPr>
        <w:t>报告生成与评审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6806"/>
      <w:r>
        <w:rPr>
          <w:rFonts w:hint="eastAsia"/>
        </w:rPr>
        <w:t>报告生成流程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模板化管理：建立标准化的报告模板，确保格式统一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自动化支持：尽可能采用自动化工具生成报告，减少人工错误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版本控制：建立报告版本管理机制，确保可追溯性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4996"/>
      <w:r>
        <w:rPr>
          <w:rFonts w:hint="eastAsia"/>
        </w:rPr>
        <w:t>多级评审机制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建立分层次的报告评审机制：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技术评审：由运维工程师验证数据准确性和计算方法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管理评审：由运维管理部经理审核分析结论和建议的合理性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客户确认：关键报告需经客户确认为最终版本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303"/>
      <w:r>
        <w:rPr>
          <w:rFonts w:hint="eastAsia"/>
        </w:rPr>
        <w:t>报告分发与使用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1" w:name="_Toc32505"/>
      <w:r>
        <w:rPr>
          <w:rFonts w:hint="eastAsia"/>
        </w:rPr>
        <w:t>分发管理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分发清单：建立报告分发矩阵，明确各报告的接收人和分发方式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保密管理：根据信息敏感度设定相应的保密级别和传播范围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反馈收集：建立报告反馈机制，持续改进报告质量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2" w:name="_Toc164"/>
      <w:r>
        <w:rPr>
          <w:rFonts w:hint="eastAsia"/>
        </w:rPr>
        <w:t>效果评估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使用情况跟踪：监控报告的使用情况和效果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价值评估：定期评估报告对决策支持的贡献度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持续优化：基于使用反馈持续优化报告内容和形式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3" w:name="_Toc23610"/>
      <w:r>
        <w:rPr>
          <w:rFonts w:hint="eastAsia"/>
        </w:rPr>
        <w:t>报告归档与知识管理</w:t>
      </w:r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4" w:name="_Toc29351"/>
      <w:r>
        <w:rPr>
          <w:rFonts w:hint="eastAsia"/>
        </w:rPr>
        <w:t>归档管理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归档标准：明确归档范围、保存期限和存储要求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检索机制：建立便捷的报告检索和查阅机制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安全控制：实施适当的访问权限控制，确保信息安全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5" w:name="_Toc4868"/>
      <w:r>
        <w:rPr>
          <w:rFonts w:hint="eastAsia"/>
        </w:rPr>
        <w:t>知识转化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最佳实践：从报告分析中提炼最佳实践并推广应用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经验教训：将重大问题的经验教训纳入知识库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模式识别：通过历史报告识别服务管理的规律和模式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6" w:name="_Toc10604"/>
      <w:r>
        <w:rPr>
          <w:rFonts w:hint="eastAsia"/>
        </w:rPr>
        <w:t>关键控制点与测量指标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关键控制点：报告数据的准确性、报告编制的及时性、报告评审的规范性。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过程测量指标：服务报告提交及时率=(按时提交的服务报告数量 / 应提交的服务报告总数) × 100%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服务报告提交及时率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按时提交的服务报告数量/应提交的服务报告总数)×100%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7424"/>
      <w:bookmarkStart w:id="39" w:name="_Toc22635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0943"/>
      <w:r>
        <w:rPr>
          <w:rFonts w:hint="eastAsia"/>
          <w:lang w:val="en-US" w:eastAsia="zh-CN"/>
        </w:rPr>
        <w:t>附件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13309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990EF0"/>
    <w:multiLevelType w:val="singleLevel"/>
    <w:tmpl w:val="E7990E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A3EEEB0"/>
    <w:multiLevelType w:val="singleLevel"/>
    <w:tmpl w:val="EA3EE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339532"/>
    <w:multiLevelType w:val="singleLevel"/>
    <w:tmpl w:val="3333953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2465</Words>
  <Characters>2728</Characters>
  <Application>Microsoft Office Word</Application>
  <DocSecurity>0</DocSecurity>
  <Lines>0</Lines>
  <Paragraphs>0</Paragraphs>
  <ScaleCrop>false</ScaleCrop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