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169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2851"/>
      <w:r>
        <w:rPr>
          <w:rFonts w:hint="eastAsia"/>
          <w:lang w:val="en-US" w:eastAsia="zh-CN"/>
        </w:rPr>
        <w:t>问题管理制度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_Toc9169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问题管理制度</w:t>
          </w:r>
          <w:r>
            <w:tab/>
          </w:r>
          <w:r>
            <w:fldChar w:fldCharType="begin"/>
          </w:r>
          <w:r>
            <w:instrText xml:space="preserve"> PAGEREF _Toc2851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_Toc6290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_Toc21893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_Toc8345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_Toc25731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_Toc28600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_Toc22823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_Toc13731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_Toc21505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_Toc8928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_Toc10252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</w:rPr>
            <w:t>问题</w:t>
          </w:r>
          <w:r>
            <w:tab/>
          </w:r>
          <w:r>
            <w:fldChar w:fldCharType="begin"/>
          </w:r>
          <w:r>
            <w:instrText xml:space="preserve"> PAGEREF _Toc13345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rPr>
              <w:rFonts w:hint="eastAsia"/>
            </w:rPr>
            <w:t>已知错误</w:t>
          </w:r>
          <w:r>
            <w:tab/>
          </w:r>
          <w:r>
            <w:fldChar w:fldCharType="begin"/>
          </w:r>
          <w:r>
            <w:instrText xml:space="preserve"> PAGEREF _Toc10821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rPr>
              <w:rFonts w:hint="eastAsia"/>
            </w:rPr>
            <w:t>根本原因</w:t>
          </w:r>
          <w:r>
            <w:tab/>
          </w:r>
          <w:r>
            <w:fldChar w:fldCharType="begin"/>
          </w:r>
          <w:r>
            <w:instrText xml:space="preserve"> PAGEREF _Toc28959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3.1.5.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_Toc30575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_Toc4054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问题识别与记录</w:t>
          </w:r>
          <w:r>
            <w:tab/>
          </w:r>
          <w:r>
            <w:fldChar w:fldCharType="begin"/>
          </w:r>
          <w:r>
            <w:instrText xml:space="preserve"> PAGEREF _Toc20688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问题分类与优先级判定</w:t>
          </w:r>
          <w:r>
            <w:tab/>
          </w:r>
          <w:r>
            <w:fldChar w:fldCharType="begin"/>
          </w:r>
          <w:r>
            <w:instrText xml:space="preserve"> PAGEREF _Toc2753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问题调查与诊断</w:t>
          </w:r>
          <w:r>
            <w:tab/>
          </w:r>
          <w:r>
            <w:fldChar w:fldCharType="begin"/>
          </w:r>
          <w:r>
            <w:instrText xml:space="preserve"> PAGEREF _Toc2557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解决方案制定与实施</w:t>
          </w:r>
          <w:r>
            <w:tab/>
          </w:r>
          <w:r>
            <w:fldChar w:fldCharType="begin"/>
          </w:r>
          <w:r>
            <w:instrText xml:space="preserve"> PAGEREF _Toc3586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解决方案验证与关闭</w:t>
          </w:r>
          <w:r>
            <w:tab/>
          </w:r>
          <w:r>
            <w:fldChar w:fldCharType="begin"/>
          </w:r>
          <w:r>
            <w:instrText xml:space="preserve"> PAGEREF _Toc15993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问题回顾与评审</w:t>
          </w:r>
          <w:r>
            <w:tab/>
          </w:r>
          <w:r>
            <w:fldChar w:fldCharType="begin"/>
          </w:r>
          <w:r>
            <w:instrText xml:space="preserve"> PAGEREF _Toc11315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_Toc1943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_Toc25063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_Toc16109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_Toc4006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6290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1893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为规范北京新都远景网络技术有限公司运维服务中的问题管理，根本性地消除或减少事件的再次发生，提高运维服务质量和系统稳定性，特制定本制度。其核心目的包括：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分析并确定问题根本原因，提供最终解决方案，防止同类事件重复发生；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确保问题被分派给正确的支持人员，提升问题解决效率与解决率；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依据问题优先级合理调配资源，保障核心业务可用性；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对事件记录进行趋势分析，主动实施预防性措施；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提升运维服务的整体可靠性与客户满意度；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完善运维服务知识，提高事件首次解决率，缩短平均解决时间。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8345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北京新都远景网络技术有限公司运维管理部、研发部、质量效能部等所有参与运维服务的部门及人员。管理范围涵盖所有根据ITSS服务目录定义的，在运营环境中因系统软、硬件错误引发的，需进行根本原因分析的问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5731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治本原则：致力于寻找并消除问题根源，而非仅提供临时解决方案。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预防为主：通过趋势分析，主动识别和解决潜在问题。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协同合作：问题管理流程需与事件管理、变更管理等流程紧密协作。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持续改进：定期回顾问题处理过程，优化流程，积累知识。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6756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28600"/>
      <w:r>
        <w:rPr>
          <w:rFonts w:hint="eastAsia"/>
          <w:lang w:val="en-US" w:eastAsia="zh-CN"/>
        </w:rPr>
        <w:t>运维管理部经理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负责问题管理流程的整体设计、实施、监控与持续改进；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定义并维护本制度及相关模板；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协调问题处理所需资源，确保流程目标达成；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主持重大问题回顾与评审会议。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2823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负责问题管理的日常协调工作；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接收、初步分类与记录问题；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定期生成问题管理报表，协助进行趋势分析；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跟踪问题状态，确保流程按期执行。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13731"/>
      <w:r>
        <w:rPr>
          <w:rFonts w:hint="eastAsia"/>
          <w:lang w:val="en-US" w:eastAsia="zh-CN"/>
        </w:rPr>
        <w:t>研发部</w:t>
      </w:r>
      <w:bookmarkEnd w:id="1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接受分派，对问题进行深入调查、分析与诊断，定位根本原因；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制定并评估解决方案，参与测试验证；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必要时提交变更请求（RFC），并跟踪变更实施。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1505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本制度制定引用了以下国家标准：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8928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3"/>
        <w:bidi w:val="0"/>
        <w:rPr>
          <w:rFonts w:hint="eastAsia"/>
        </w:rPr>
      </w:pPr>
      <w:bookmarkStart w:id="13" w:name="_Toc10252"/>
      <w:r>
        <w:rPr>
          <w:rFonts w:hint="eastAsia"/>
        </w:rPr>
        <w:t>事件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导致或可能导致服务中断或质量降低的未计划单次事务。</w:t>
      </w:r>
    </w:p>
    <w:p>
      <w:pPr>
        <w:pStyle w:val="3"/>
        <w:bidi w:val="0"/>
        <w:rPr>
          <w:rFonts w:hint="eastAsia"/>
        </w:rPr>
      </w:pPr>
      <w:bookmarkStart w:id="14" w:name="_Toc13345"/>
      <w:r>
        <w:rPr>
          <w:rFonts w:hint="eastAsia"/>
        </w:rPr>
        <w:t>问题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导致一个或多个事件发生的未知根本原因。</w:t>
      </w:r>
    </w:p>
    <w:p>
      <w:pPr>
        <w:pStyle w:val="3"/>
        <w:bidi w:val="0"/>
        <w:rPr>
          <w:rFonts w:hint="eastAsia"/>
        </w:rPr>
      </w:pPr>
      <w:bookmarkStart w:id="15" w:name="_Toc10821"/>
      <w:r>
        <w:rPr>
          <w:rFonts w:hint="eastAsia"/>
        </w:rPr>
        <w:t>已知错误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经过诊断已确定根本原因的问题。</w:t>
      </w:r>
    </w:p>
    <w:p>
      <w:pPr>
        <w:pStyle w:val="3"/>
        <w:bidi w:val="0"/>
        <w:rPr>
          <w:rFonts w:hint="eastAsia"/>
        </w:rPr>
      </w:pPr>
      <w:bookmarkStart w:id="16" w:name="_Toc28959"/>
      <w:r>
        <w:rPr>
          <w:rFonts w:hint="eastAsia"/>
        </w:rPr>
        <w:t>根本原因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导致问题发生的最基本、最深层次的原因。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7" w:name="_Toc30575"/>
      <w:r>
        <w:rPr>
          <w:rFonts w:hint="eastAsia"/>
          <w:lang w:val="en-US" w:eastAsia="zh-CN"/>
        </w:rPr>
        <w:t>服务知识</w:t>
      </w:r>
      <w:bookmarkEnd w:id="17"/>
    </w:p>
    <w:p>
      <w:pPr>
        <w:pStyle w:val="a1"/>
        <w:rPr>
          <w:rFonts w:hint="eastAsia"/>
        </w:rPr>
      </w:pPr>
      <w:r>
        <w:rPr>
          <w:rFonts w:hint="eastAsia"/>
        </w:rPr>
        <w:t>用于存储已知错误、解决方案及变通方法的数据库。</w:t>
      </w:r>
    </w:p>
    <w:p>
      <w:pPr>
        <w:pStyle w:val="a1"/>
      </w:pPr>
      <w:r>
        <w:rPr>
          <w:rFonts w:hint="eastAsia"/>
        </w:rPr>
        <w:t>变更请求（RFC）：为解决问题而提出的对任何配置项的修改请求。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054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0688"/>
      <w:r>
        <w:rPr>
          <w:rFonts w:hint="default"/>
          <w:lang w:val="en-US" w:eastAsia="zh-CN"/>
        </w:rPr>
        <w:t>问题识别与记录</w:t>
      </w:r>
      <w:bookmarkEnd w:id="19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问题来源：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事件升级：由事件管理流程升级而来，包括重大事件、频发事件。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主动提出：运维人员在巡检、维护工作中识别的风险或缺陷。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趋势分析：通过对历史事件数据的分析，发现的系统性潜在问题。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问题记录：任何人员识别到问题后，均需通过运维服务管理系统提交《问题记录单》（附件一）。问题管理员负责初步审核信息的完整性。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753"/>
      <w:r>
        <w:rPr>
          <w:rFonts w:hint="default"/>
          <w:lang w:val="en-US" w:eastAsia="zh-CN"/>
        </w:rPr>
        <w:t>问题分类与优先级判定</w:t>
      </w:r>
      <w:bookmarkEnd w:id="20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问题分类：按技术领域分为硬件类、软件类、网络类等，以便准确分派。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优先级判定：根据对业务的影响程度和紧急性，分为四级：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P1-紧急：影响核心业务，范围广，需立即处理。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P2-高：影响重要业务，需优先处理。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P3-中：影响局部业务，需安排处理。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P4-低：对业务无实质影响，属优化改进类。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557"/>
      <w:r>
        <w:rPr>
          <w:rFonts w:hint="default"/>
          <w:lang w:val="en-US" w:eastAsia="zh-CN"/>
        </w:rPr>
        <w:t>问题调查与诊断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需采用科学方法（如5Why分析法、鱼骨图等）调查问题，直至找到根本原因。调查过程与结论需详细记录。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3586"/>
      <w:r>
        <w:rPr>
          <w:rFonts w:hint="default"/>
          <w:lang w:val="en-US" w:eastAsia="zh-CN"/>
        </w:rPr>
        <w:t>解决方案制定与实施</w:t>
      </w:r>
      <w:bookmarkEnd w:id="22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确定根本原因后，需制定永久性解决方案。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若解决方案涉及系统变更，必须严格遵循《变更管理程序》提交变更请求（RFC）。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解决方案需经过评估，明确风险与影响。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5993"/>
      <w:r>
        <w:rPr>
          <w:rFonts w:hint="default"/>
          <w:lang w:val="en-US" w:eastAsia="zh-CN"/>
        </w:rPr>
        <w:t>解决方案验证与关闭</w:t>
      </w:r>
      <w:bookmarkEnd w:id="23"/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测试验证：解决方案需在测试环境验证通过后，方可在生产环境实施。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效果确认：解决方案实施后，需监控一段时间以确认问题被根本解决且未引入新风险。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问题关闭：经问题经理评审确认后，由问题管理员关闭问题，并更新知识库。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1315"/>
      <w:r>
        <w:rPr>
          <w:rFonts w:hint="default"/>
          <w:lang w:val="en-US" w:eastAsia="zh-CN"/>
        </w:rPr>
        <w:t>问题回顾与评审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对所有P1、P2级别的问题，以及具有代表性的P3级别问题，问题经理应组织回顾会议，总结经验教训，识别改进机会，并形成《问题回顾报告》（附件二）。</w:t>
      </w:r>
    </w:p>
    <w:p>
      <w:pPr>
        <w:pStyle w:val="2"/>
        <w:bidi w:val="0"/>
        <w:rPr>
          <w:rFonts w:hint="eastAsia"/>
        </w:rPr>
      </w:pPr>
      <w:bookmarkStart w:id="25" w:name="_Toc1943"/>
      <w:bookmarkStart w:id="26" w:name="_Toc14508"/>
      <w:r>
        <w:rPr>
          <w:rFonts w:hint="eastAsia"/>
        </w:rPr>
        <w:t>关键控制点与测量指标</w:t>
      </w:r>
      <w:bookmarkEnd w:id="25"/>
      <w:bookmarkEnd w:id="26"/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问题解决率</w:t>
            </w:r>
          </w:p>
        </w:tc>
        <w:tc>
          <w:tcPr>
            <w:tcW w:w="342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实际解决的问题数/问题总数×100 %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7" w:name="bookmark3"/>
      <w:bookmarkEnd w:id="27"/>
      <w:bookmarkStart w:id="28" w:name="_Toc17424"/>
      <w:bookmarkStart w:id="29" w:name="_Toc25063"/>
      <w:r>
        <w:rPr>
          <w:rStyle w:val="1Char"/>
          <w:rFonts w:eastAsia="宋体" w:hint="eastAsia"/>
          <w:lang w:val="en-US" w:eastAsia="zh-CN"/>
        </w:rPr>
        <w:t>附则</w:t>
      </w:r>
      <w:bookmarkEnd w:id="28"/>
      <w:bookmarkEnd w:id="29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bookmark14"/>
      <w:bookmarkEnd w:id="30"/>
      <w:bookmarkStart w:id="31" w:name="_Toc16109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《问题记录单》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《问题回顾报告模板》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4006"/>
      <w:r>
        <w:rPr>
          <w:rFonts w:hint="eastAsia"/>
          <w:lang w:val="en-US" w:eastAsia="zh-CN"/>
        </w:rPr>
        <w:t>记录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所有问题记录单、分析记录、解决方案、测试报告、回顾报告等均应作为过程记录，由运维管理部统一保存，保存期限不少于3年，以支持审计和持续改进。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DE0566"/>
    <w:multiLevelType w:val="singleLevel"/>
    <w:tmpl w:val="80DE05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B8496AB"/>
    <w:multiLevelType w:val="singleLevel"/>
    <w:tmpl w:val="9B8496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59979"/>
    <w:multiLevelType w:val="singleLevel"/>
    <w:tmpl w:val="AE7599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39F694F"/>
    <w:multiLevelType w:val="singleLevel"/>
    <w:tmpl w:val="B39F69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BA3A76"/>
    <w:multiLevelType w:val="singleLevel"/>
    <w:tmpl w:val="F9BA3A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A6F25D6"/>
    <w:multiLevelType w:val="singleLevel"/>
    <w:tmpl w:val="2A6F25D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EF5FE94"/>
    <w:multiLevelType w:val="singleLevel"/>
    <w:tmpl w:val="3EF5FE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BAC55DB"/>
    <w:multiLevelType w:val="singleLevel"/>
    <w:tmpl w:val="5BAC55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2098175"/>
    <w:multiLevelType w:val="singleLevel"/>
    <w:tmpl w:val="620981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184B1C5"/>
    <w:multiLevelType w:val="singleLevel"/>
    <w:tmpl w:val="7184B1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D802C86"/>
    <w:multiLevelType w:val="singleLevel"/>
    <w:tmpl w:val="7D802C8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9"/>
  </w:num>
  <w:num w:numId="7">
    <w:abstractNumId w:val="12"/>
  </w:num>
  <w:num w:numId="8">
    <w:abstractNumId w:val="3"/>
  </w:num>
  <w:num w:numId="9">
    <w:abstractNumId w:val="10"/>
  </w:num>
  <w:num w:numId="10">
    <w:abstractNumId w:val="4"/>
  </w:num>
  <w:num w:numId="11">
    <w:abstractNumId w:val="8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2045</Words>
  <Characters>2262</Characters>
  <Application>Microsoft Office Word</Application>
  <DocSecurity>0</DocSecurity>
  <Lines>0</Lines>
  <Paragraphs>0</Paragraphs>
  <ScaleCrop>false</ScaleCrop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