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7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1804"/>
      <w:r>
        <w:rPr>
          <w:rFonts w:hint="eastAsia"/>
          <w:lang w:val="en-US" w:eastAsia="zh-CN"/>
        </w:rPr>
        <w:t>变更管理制度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北京新都远景网络技术有限公司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_Toc14781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变更管理制度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_Toc11804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 xml:space="preserve">1. </w:t>
          </w:r>
          <w:r>
            <w:rPr>
              <w:rFonts w:ascii="宋体" w:eastAsia="宋体" w:hAnsi="宋体" w:cs="宋体" w:hint="eastAsia"/>
              <w:lang w:val="en-US" w:eastAsia="zh-CN"/>
            </w:rPr>
            <w:t>总则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_Toc12389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1.1. 目的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_Toc32456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1.2. 适用范围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_Toc31127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1.3. 原则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 岗位职责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_Toc7272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1.4.1. 运维管理部经理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_Toc3091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1.4.2. 运维工程师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_Toc13049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1.4.3. 运维管理部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_Toc5765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2. 引用依据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_Toc30039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 定义与术语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_Toc17910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3.1. 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_Toc12425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3.2. 一般变更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_Toc12398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3.3. 重大变更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_Toc13077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3.4. 紧急变更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_Toc8338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 管理内容与要求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_Toc17008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4.1. 变更分类与级别判定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_Toc32193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 变更管理通用流程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_Toc2367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4.2.1. 变更申请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_Toc3554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4.2.2. 记录与过滤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_Toc11347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4.2.3. 评估与分类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_Toc9954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4.2.4. 审批与计划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_Toc25792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4.2.5. 实施与测试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_Toc21753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4.2.6. 回退与复盘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4.2.7. 回顾与关闭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_Toc25639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4.3. 特定流程要求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_Toc26527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>4.4. 关键控制点与测量指标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_Toc28299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5. 附则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_Toc1403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6. 附件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_Toc24194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7. 记录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_Toc22300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3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3245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北京新都远景网络技术有限公司运维服务中的变更管理活动，确保所有变更在受控方式下进行评估、审批与实施，杜绝非授权变更，降低变更风险及对业务运营的影响，保障服务稳定性与连续性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311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本制度适用于公司运维管理部及其它相关职能部门（如研发部、质量效能部）所管理的所有信息系统、基础设施及服务的各类变更。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261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受控原则：所有变更必须遵循本流程，禁止未经授权的变更。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风险评估原则：所有变更必须经过评估，明确其对业务、服务及资源的影响与风险。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分类分级原则：根据变更影响范围与风险，实施分类、分级审批与管理。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记录与追溯原则：所有变更活动必须被完整记录，确保过程可追溯。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727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3091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负责变更管理流程的整体协调与推进。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负责变更的接收、初步筛选、分类与记录。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组织或参与变更的评估，制定变更计划与方案。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协调资源，督促变更的实施，并负责变更的关闭与事后评审。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确保变更结果被准确更新至配置管理数据库（CMDB）。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对涉及服务级别协议（SLA）的重大变更与紧急变更进行最终确认与审批。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3049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根据已批准的变更计划，安全、准确地执行变更操作。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向运维工程师汇报实施进展与结果。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执行变更失败时的回退方案。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5765"/>
      <w:r>
        <w:rPr>
          <w:rFonts w:hint="eastAsia"/>
          <w:lang w:val="en-US" w:eastAsia="zh-CN"/>
        </w:rPr>
        <w:t>运维管理部</w:t>
      </w:r>
      <w:bookmarkEnd w:id="10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负责对重大、紧急变更进行快速评估与审批。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评估变更的潜在影响、风险与资源需求。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协助运维工程师确定变更的优先级。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30039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910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2425"/>
      <w:r>
        <w:rPr>
          <w:rFonts w:hint="eastAsia"/>
          <w:lang w:val="en-US" w:eastAsia="zh-CN"/>
        </w:rPr>
        <w:t>变更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在运维服务过程中，对任何配置项进行的增补、移除、修改等所有改变。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2398"/>
      <w:r>
        <w:rPr>
          <w:rFonts w:hint="eastAsia"/>
          <w:lang w:val="en-US" w:eastAsia="zh-CN"/>
        </w:rPr>
        <w:t>一般变更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风险与影响较低，有标准操作流程，不会对系统持续运行造成实质性影响的变更。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3077"/>
      <w:r>
        <w:rPr>
          <w:rFonts w:hint="eastAsia"/>
          <w:lang w:val="en-US" w:eastAsia="zh-CN"/>
        </w:rPr>
        <w:t>重大变更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影响范围广、风险高，需要详细方案、测试及严格审批的变更，如系统架构变更、大版本升级等。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8338"/>
      <w:r>
        <w:rPr>
          <w:rFonts w:hint="eastAsia"/>
          <w:lang w:val="en-US" w:eastAsia="zh-CN"/>
        </w:rPr>
        <w:t>紧急变更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为解决重大故障或满足紧急业务需求，必须立即实施的变更，其流程在保证受控的前提下予以简化。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回退计划：当变更实施失败时，用于将系统恢复到变更前状态的详细操作方案。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17008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32193"/>
      <w:r>
        <w:rPr>
          <w:rFonts w:hint="eastAsia"/>
          <w:lang w:val="en-US" w:eastAsia="zh-CN"/>
        </w:rPr>
        <w:t>变更分类与级别判定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所有变更请求必须根据其业务影响、风险与紧急程度，按以下标准进行分类，并执行相应流程：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3808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变更类型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影响与风险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审批要求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低风险，对服务无实质性影响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高风险，影响核心业务或范围广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极高风险，需立即处理以恢复服务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运维管理部经理审批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9" w:name="_Toc2367"/>
      <w:r>
        <w:rPr>
          <w:rFonts w:hint="eastAsia"/>
          <w:lang w:val="en-US" w:eastAsia="zh-CN"/>
        </w:rPr>
        <w:t>变更管理通用流程</w:t>
      </w:r>
      <w:bookmarkEnd w:id="19"/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3554"/>
      <w:r>
        <w:rPr>
          <w:rFonts w:hint="eastAsia"/>
          <w:lang w:val="en-US" w:eastAsia="zh-CN"/>
        </w:rPr>
        <w:t>变更申请</w:t>
      </w:r>
      <w:bookmarkEnd w:id="2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由事件、问题或其他管理流程触发，提交变更请求。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1" w:name="_Toc11347"/>
      <w:r>
        <w:rPr>
          <w:rFonts w:hint="eastAsia"/>
          <w:lang w:val="en-US" w:eastAsia="zh-CN"/>
        </w:rPr>
        <w:t>记录与过滤</w:t>
      </w:r>
      <w:bookmarkEnd w:id="2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运维工程师接收并记录变更请求，对不合规或超出范围的申请予以拒绝并说明原因。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2" w:name="_Toc9954"/>
      <w:r>
        <w:rPr>
          <w:rFonts w:hint="eastAsia"/>
          <w:lang w:val="en-US" w:eastAsia="zh-CN"/>
        </w:rPr>
        <w:t>评估与分类</w:t>
      </w:r>
      <w:bookmarkEnd w:id="2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运维工程师对受理的变更请求进行评估，明确其影响、风险与资源需求，并进行分类。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25792"/>
      <w:r>
        <w:rPr>
          <w:rFonts w:hint="eastAsia"/>
          <w:lang w:val="en-US" w:eastAsia="zh-CN"/>
        </w:rPr>
        <w:t>审批与计划</w:t>
      </w:r>
      <w:bookmarkEnd w:id="2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根据变更分类，进入相应审批流程。审批通过后，制定详细的变更计划、测试计划与回退计划。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21753"/>
      <w:r>
        <w:rPr>
          <w:rFonts w:hint="eastAsia"/>
          <w:lang w:val="en-US" w:eastAsia="zh-CN"/>
        </w:rPr>
        <w:t>实施与测试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变更实施人员按计划在测试环境或生产环境执行变更，并进行验证测试。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2165"/>
      <w:r>
        <w:rPr>
          <w:rFonts w:hint="eastAsia"/>
          <w:lang w:val="en-US" w:eastAsia="zh-CN"/>
        </w:rPr>
        <w:t>回退与复盘</w:t>
      </w:r>
      <w:bookmarkEnd w:id="25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变更失败判定：若在实施或测试过程中，出现未达到预期目标、引发重大故障、或对服务造成不可接受影响等情况，则判定为变更失败。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执行回退计划：变更实施人员应立即启动并执行在计划阶段已制定的回退计划，将系统恢复至变更前的稳定状态，并验证回退成功。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启动事件管理：若变更失败已对服务造成影响，应立即按照事件管理流程上报，以快速恢复服务。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问题分析与记录：对变更失败的根本原因进行深入分析，记录所有细节并补充至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，为后续的问题管理提供输入。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6" w:name="_Toc25639"/>
      <w:r>
        <w:rPr>
          <w:rFonts w:hint="eastAsia"/>
          <w:lang w:val="en-US" w:eastAsia="zh-CN"/>
        </w:rPr>
        <w:t>回顾与关闭</w:t>
      </w:r>
      <w:bookmarkEnd w:id="2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变更成功后，进行回顾评审，更新配置管理数据库（CMDB）和服务知识，最后由运维工程师关闭变更。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26527"/>
      <w:r>
        <w:rPr>
          <w:rFonts w:hint="eastAsia"/>
          <w:lang w:val="en-US" w:eastAsia="zh-CN"/>
        </w:rPr>
        <w:t>特定流程要求</w:t>
      </w:r>
      <w:bookmarkEnd w:id="2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一般变更流程：流程简化，侧重于标准操作与快速实施。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重大变更流程：必须经过严格的测试、详细的方案评审与多层审批。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紧急变更流程：在保障“事前审批”原则的前提下可加速，但事后必须补全所有文档并完成评审。</w:t>
      </w:r>
    </w:p>
    <w:p>
      <w:pPr>
        <w:pStyle w:val="2"/>
        <w:bidi w:val="0"/>
        <w:rPr>
          <w:rFonts w:hint="eastAsia"/>
        </w:rPr>
      </w:pPr>
      <w:bookmarkStart w:id="28" w:name="_Toc28299"/>
      <w:bookmarkStart w:id="29" w:name="_Toc14508"/>
      <w:r>
        <w:rPr>
          <w:rFonts w:hint="eastAsia"/>
        </w:rPr>
        <w:t>关键控制点与测量指标</w:t>
      </w:r>
      <w:bookmarkEnd w:id="28"/>
      <w:bookmarkEnd w:id="29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变更成功率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(变次成功次数 / 变更总次数)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30" w:name="_Toc1403"/>
      <w:r>
        <w:rPr>
          <w:rFonts w:hint="eastAsia"/>
          <w:lang w:val="en-US" w:eastAsia="zh-CN"/>
        </w:rPr>
        <w:t>附则</w:t>
      </w:r>
      <w:bookmarkEnd w:id="30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本制度最终解释权和修订权归运维管理部。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1" w:name="_Toc24194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《变更申请表》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《变更管理表》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《变更方案模板》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2" w:name="_Toc22300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所有变更相关的申请、评估、审批、实施、测试与回顾记录，应由运维管理部统一保存，保存期限不少于3年，以支持审计与服务改进。</w:t>
      </w:r>
    </w:p>
    <w:p>
      <w:pPr>
        <w:pStyle w:val="a1"/>
        <w:rPr>
          <w:rFonts w:hint="eastAsia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E9CB31"/>
    <w:multiLevelType w:val="singleLevel"/>
    <w:tmpl w:val="8AE9CB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A6D4CC4"/>
    <w:multiLevelType w:val="singleLevel"/>
    <w:tmpl w:val="BA6D4C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8F51A4"/>
    <w:multiLevelType w:val="singleLevel"/>
    <w:tmpl w:val="C48F51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AC7FB99"/>
    <w:multiLevelType w:val="singleLevel"/>
    <w:tmpl w:val="CAC7FB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F06DD2"/>
    <w:multiLevelType w:val="singleLevel"/>
    <w:tmpl w:val="DEF06D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90C729"/>
    <w:multiLevelType w:val="singleLevel"/>
    <w:tmpl w:val="2490C7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42AFCC8"/>
    <w:multiLevelType w:val="singleLevel"/>
    <w:tmpl w:val="342AF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A1C11A3"/>
    <w:multiLevelType w:val="singleLevel"/>
    <w:tmpl w:val="4A1C11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2082</Words>
  <Characters>2298</Characters>
  <Application>Microsoft Office Word</Application>
  <DocSecurity>0</DocSecurity>
  <Lines>0</Lines>
  <Paragraphs>0</Paragraphs>
  <ScaleCrop>false</ScaleCrop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