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8945"/>
      <w:bookmarkStart w:id="1" w:name="_GoBack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"/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2" w:name="_Toc1587"/>
      <w:r>
        <w:rPr>
          <w:rFonts w:hint="eastAsia"/>
          <w:lang w:val="en-US" w:eastAsia="zh-CN"/>
        </w:rPr>
        <w:t>配置管理制度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_Toc28945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_Toc28945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配置管理制度</w:t>
          </w:r>
          <w:r>
            <w:tab/>
          </w:r>
          <w:r>
            <w:fldChar w:fldCharType="begin"/>
          </w:r>
          <w:r>
            <w:instrText xml:space="preserve"> PAGEREF _Toc1587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_Toc12125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_Toc12125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_Toc10206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_Toc10206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_Toc6473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_Toc6473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_Toc20338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_Toc20338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_Toc31787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_Toc31787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_Toc32017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运维管理部经理</w:t>
          </w:r>
          <w:r>
            <w:tab/>
          </w:r>
          <w:r>
            <w:fldChar w:fldCharType="begin"/>
          </w:r>
          <w:r>
            <w:instrText xml:space="preserve"> PAGEREF _Toc32017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_Toc18208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运维工程师</w:t>
          </w:r>
          <w:r>
            <w:tab/>
          </w:r>
          <w:r>
            <w:fldChar w:fldCharType="begin"/>
          </w:r>
          <w:r>
            <w:instrText xml:space="preserve"> PAGEREF _Toc18208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_Toc7391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_Toc7391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_Toc29001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_Toc29001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_Toc24262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配置项</w:t>
          </w:r>
          <w:r>
            <w:tab/>
          </w:r>
          <w:r>
            <w:fldChar w:fldCharType="begin"/>
          </w:r>
          <w:r>
            <w:instrText xml:space="preserve"> PAGEREF _Toc24262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_Toc21265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配置管理数据库</w:t>
          </w:r>
          <w:r>
            <w:tab/>
          </w:r>
          <w:r>
            <w:fldChar w:fldCharType="begin"/>
          </w:r>
          <w:r>
            <w:instrText xml:space="preserve"> PAGEREF _Toc21265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配置基线</w:t>
          </w:r>
          <w:r>
            <w:tab/>
          </w:r>
          <w:r>
            <w:fldChar w:fldCharType="begin"/>
          </w:r>
          <w:r>
            <w:instrText xml:space="preserve"> PAGEREF _Toc2332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_Toc4768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_Toc4768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配置管理策略</w:t>
          </w:r>
          <w:r>
            <w:tab/>
          </w:r>
          <w:r>
            <w:fldChar w:fldCharType="begin"/>
          </w:r>
          <w:r>
            <w:instrText xml:space="preserve"> PAGEREF _Toc1493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4.1.1. 配置管理范围定义</w:t>
          </w:r>
          <w:r>
            <w:tab/>
          </w:r>
          <w:r>
            <w:fldChar w:fldCharType="begin"/>
          </w:r>
          <w:r>
            <w:instrText xml:space="preserve"> PAGEREF _Toc1251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_Toc9700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4.1.2. 命名规范与属性定义</w:t>
          </w:r>
          <w:r>
            <w:tab/>
          </w:r>
          <w:r>
            <w:fldChar w:fldCharType="begin"/>
          </w:r>
          <w:r>
            <w:instrText xml:space="preserve"> PAGEREF _Toc9700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_Toc12240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配置项识别与定义</w:t>
          </w:r>
          <w:r>
            <w:tab/>
          </w:r>
          <w:r>
            <w:fldChar w:fldCharType="begin"/>
          </w:r>
          <w:r>
            <w:instrText xml:space="preserve"> PAGEREF _Toc12240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_Toc13554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4.2.1. 配置项识别流程</w:t>
          </w:r>
          <w:r>
            <w:tab/>
          </w:r>
          <w:r>
            <w:fldChar w:fldCharType="begin"/>
          </w:r>
          <w:r>
            <w:instrText xml:space="preserve"> PAGEREF _Toc13554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_Toc16334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4.2.2. 配置项属性管理</w:t>
          </w:r>
          <w:r>
            <w:tab/>
          </w:r>
          <w:r>
            <w:fldChar w:fldCharType="begin"/>
          </w:r>
          <w:r>
            <w:instrText xml:space="preserve"> PAGEREF _Toc16334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CMDB建设与维护</w:t>
          </w:r>
          <w:r>
            <w:tab/>
          </w:r>
          <w:r>
            <w:fldChar w:fldCharType="begin"/>
          </w:r>
          <w:r>
            <w:instrText xml:space="preserve"> PAGEREF _Toc1951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_Toc4465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4.3.1. CMDB初始化</w:t>
          </w:r>
          <w:r>
            <w:tab/>
          </w:r>
          <w:r>
            <w:fldChar w:fldCharType="begin"/>
          </w:r>
          <w:r>
            <w:instrText xml:space="preserve"> PAGEREF _Toc4465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_Toc16606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4.3.2. 日常维护流程</w:t>
          </w:r>
          <w:r>
            <w:tab/>
          </w:r>
          <w:r>
            <w:fldChar w:fldCharType="begin"/>
          </w:r>
          <w:r>
            <w:instrText xml:space="preserve"> PAGEREF _Toc16606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_Toc14815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配置变更控制</w:t>
          </w:r>
          <w:r>
            <w:tab/>
          </w:r>
          <w:r>
            <w:fldChar w:fldCharType="begin"/>
          </w:r>
          <w:r>
            <w:instrText xml:space="preserve"> PAGEREF _Toc14815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_Toc12083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4.4.1. 变更触发机制</w:t>
          </w:r>
          <w:r>
            <w:tab/>
          </w:r>
          <w:r>
            <w:fldChar w:fldCharType="begin"/>
          </w:r>
          <w:r>
            <w:instrText xml:space="preserve"> PAGEREF _Toc12083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4.4.2. 变更验证流程</w:t>
          </w:r>
          <w:r>
            <w:tab/>
          </w:r>
          <w:r>
            <w:fldChar w:fldCharType="begin"/>
          </w:r>
          <w:r>
            <w:instrText xml:space="preserve"> PAGEREF _Toc2974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_Toc26842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配置状态报告</w:t>
          </w:r>
          <w:r>
            <w:tab/>
          </w:r>
          <w:r>
            <w:fldChar w:fldCharType="begin"/>
          </w:r>
          <w:r>
            <w:instrText xml:space="preserve"> PAGEREF _Toc26842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_Toc17054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4.5.1. 报告类型与内容</w:t>
          </w:r>
          <w:r>
            <w:tab/>
          </w:r>
          <w:r>
            <w:fldChar w:fldCharType="begin"/>
          </w:r>
          <w:r>
            <w:instrText xml:space="preserve"> PAGEREF _Toc17054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_Toc17948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4.5.2. 报告分发与使用</w:t>
          </w:r>
          <w:r>
            <w:tab/>
          </w:r>
          <w:r>
            <w:fldChar w:fldCharType="begin"/>
          </w:r>
          <w:r>
            <w:instrText xml:space="preserve"> PAGEREF _Toc17948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_Toc6580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配置审计与改进</w:t>
          </w:r>
          <w:r>
            <w:tab/>
          </w:r>
          <w:r>
            <w:fldChar w:fldCharType="begin"/>
          </w:r>
          <w:r>
            <w:instrText xml:space="preserve"> PAGEREF _Toc6580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_Toc4961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4.6.1. 审计计划与执行</w:t>
          </w:r>
          <w:r>
            <w:tab/>
          </w:r>
          <w:r>
            <w:fldChar w:fldCharType="begin"/>
          </w:r>
          <w:r>
            <w:instrText xml:space="preserve"> PAGEREF _Toc4961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_Toc23789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4.6.2. 问题跟踪与改进</w:t>
          </w:r>
          <w:r>
            <w:tab/>
          </w:r>
          <w:r>
            <w:fldChar w:fldCharType="begin"/>
          </w:r>
          <w:r>
            <w:instrText xml:space="preserve"> PAGEREF _Toc23789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_Toc24767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4.7. 关键控制点与测量指标</w:t>
          </w:r>
          <w:r>
            <w:tab/>
          </w:r>
          <w:r>
            <w:fldChar w:fldCharType="begin"/>
          </w:r>
          <w:r>
            <w:instrText xml:space="preserve"> PAGEREF _Toc24767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_Toc26455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4.7.1. 关键控制点</w:t>
          </w:r>
          <w:r>
            <w:tab/>
          </w:r>
          <w:r>
            <w:fldChar w:fldCharType="begin"/>
          </w:r>
          <w:r>
            <w:instrText xml:space="preserve"> PAGEREF _Toc26455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_Toc17174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4.7.2. </w:t>
          </w:r>
          <w:r>
            <w:rPr>
              <w:rFonts w:hint="eastAsia"/>
              <w:lang w:val="en-US" w:eastAsia="zh-CN"/>
            </w:rPr>
            <w:t>过程测量指标</w:t>
          </w:r>
          <w:r>
            <w:tab/>
          </w:r>
          <w:r>
            <w:fldChar w:fldCharType="begin"/>
          </w:r>
          <w:r>
            <w:instrText xml:space="preserve"> PAGEREF _Toc17174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_Toc12339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_Toc12339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_Toc15099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_Toc15099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_Toc27318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_Toc27318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12125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0206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bidi w:val="0"/>
        <w:rPr>
          <w:rFonts w:hint="eastAsia"/>
          <w:lang w:val="en-US" w:eastAsia="zh-CN"/>
        </w:rPr>
      </w:pPr>
      <w:r>
        <w:t>为规范北京新都远景网络技术有限公司运维服务的配置管理，通过识别、控制、维护与验证所有配置项，提供一个统一、一致的管理流程，以确保服务环境中所有组件的完整性、准确性和可追溯性，从而支撑服务的稳定运行与高效管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6473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本制度适用于公司运维管理部，管理范围涵盖所有依据ITSS服务目录定义的，为交付运维服务所必需的硬件、软件、文档及服务等配置项。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0338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统一管理原则：所有配置项必须遵循统一的命名、属性和关系定义规范。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准确可靠原则：配置管理数据库（CMDB）中的数据必须真实、准确地反映实际环境。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受控变更原则：配置项的任何变更必须经由变更管理流程触发，确保状态可控。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持续审计原则：定期对配置项进行审计，确保CMDB数据的完整性。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31787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bidi w:val="0"/>
        <w:rPr>
          <w:rFonts w:hint="default"/>
          <w:lang w:val="en-US" w:eastAsia="zh-CN"/>
        </w:rPr>
      </w:pPr>
      <w:bookmarkStart w:id="8" w:name="_Toc32017"/>
      <w:r>
        <w:rPr>
          <w:rFonts w:hint="eastAsia"/>
          <w:lang w:val="en-US" w:eastAsia="zh-CN"/>
        </w:rPr>
        <w:t>运维管理部经理</w:t>
      </w:r>
      <w:bookmarkEnd w:id="8"/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负责定义、维护并推广配置管理流程及相关模板。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管理配置管理流程的实施，确保其目标达成。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识别流程改进机会并推动优化。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定期组织配置审计，并负责批准建立配置基线。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9" w:name="_Toc18208"/>
      <w:r>
        <w:rPr>
          <w:rFonts w:hint="eastAsia"/>
          <w:lang w:val="en-US" w:eastAsia="zh-CN"/>
        </w:rPr>
        <w:t>运维工程师</w:t>
      </w:r>
      <w:bookmarkEnd w:id="9"/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负责配置管理数据库（CMDB）的建立、日常控制与维护。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确保配置管理数据的完整性与准确性，为其他流程提供可靠信息。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执行配置项数据的定期审计与评估。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负责定期生成配置状态报告。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7391"/>
      <w:r>
        <w:rPr>
          <w:rFonts w:hint="eastAsia"/>
          <w:lang w:val="en-US" w:eastAsia="zh-CN"/>
        </w:rPr>
        <w:t>引用依据</w:t>
      </w:r>
      <w:bookmarkEnd w:id="10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本制度制定引用了以下国家标准与行业规范：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29001"/>
      <w:r>
        <w:rPr>
          <w:rFonts w:hint="eastAsia"/>
          <w:lang w:val="en-US" w:eastAsia="zh-CN"/>
        </w:rPr>
        <w:t>定义与术语</w:t>
      </w:r>
      <w:bookmarkEnd w:id="11"/>
    </w:p>
    <w:p>
      <w:pPr>
        <w:pStyle w:val="2"/>
        <w:bidi w:val="0"/>
        <w:rPr>
          <w:rFonts w:hint="eastAsia"/>
        </w:rPr>
      </w:pPr>
      <w:bookmarkStart w:id="12" w:name="_Toc24262"/>
      <w:r>
        <w:rPr>
          <w:rFonts w:hint="eastAsia"/>
        </w:rPr>
        <w:t>配置项</w:t>
      </w:r>
      <w:bookmarkEnd w:id="12"/>
    </w:p>
    <w:p>
      <w:pPr>
        <w:pStyle w:val="a1"/>
        <w:rPr>
          <w:rFonts w:hint="eastAsia"/>
        </w:rPr>
      </w:pPr>
      <w:r>
        <w:rPr>
          <w:rFonts w:hint="eastAsia"/>
        </w:rPr>
        <w:t>为交付运维服务所必需的、能够被独立管理的基本单元，包括硬件、软件、文档及服务等。</w:t>
      </w:r>
    </w:p>
    <w:p>
      <w:pPr>
        <w:pStyle w:val="2"/>
        <w:bidi w:val="0"/>
        <w:rPr>
          <w:rFonts w:hint="eastAsia"/>
        </w:rPr>
      </w:pPr>
      <w:bookmarkStart w:id="13" w:name="_Toc21265"/>
      <w:r>
        <w:rPr>
          <w:rFonts w:hint="eastAsia"/>
        </w:rPr>
        <w:t>配置管理数据库</w:t>
      </w:r>
      <w:bookmarkEnd w:id="13"/>
    </w:p>
    <w:p>
      <w:pPr>
        <w:pStyle w:val="a1"/>
        <w:rPr>
          <w:rFonts w:hint="eastAsia"/>
        </w:rPr>
      </w:pPr>
      <w:r>
        <w:rPr>
          <w:rFonts w:hint="eastAsia"/>
        </w:rPr>
        <w:t>包含所有配置项及其详细属性、状态及相互关系的数据库。</w:t>
      </w:r>
    </w:p>
    <w:p>
      <w:pPr>
        <w:pStyle w:val="2"/>
        <w:bidi w:val="0"/>
        <w:rPr>
          <w:rFonts w:hint="eastAsia"/>
        </w:rPr>
      </w:pPr>
      <w:bookmarkStart w:id="14" w:name="_Toc2332"/>
      <w:r>
        <w:rPr>
          <w:rFonts w:hint="eastAsia"/>
        </w:rPr>
        <w:t>配置基线</w:t>
      </w:r>
      <w:bookmarkEnd w:id="14"/>
    </w:p>
    <w:p>
      <w:pPr>
        <w:pStyle w:val="a1"/>
      </w:pPr>
      <w:r>
        <w:rPr>
          <w:rFonts w:hint="eastAsia"/>
        </w:rPr>
        <w:t>在特定时间点正式指定的配置项集合的状态，作为后续工作和恢复的基准。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4768"/>
      <w:r>
        <w:rPr>
          <w:rFonts w:hint="eastAsia"/>
          <w:lang w:val="en-US" w:eastAsia="zh-CN"/>
        </w:rPr>
        <w:t>管理内容与要求</w:t>
      </w:r>
      <w:bookmarkEnd w:id="15"/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1493"/>
      <w:r>
        <w:rPr>
          <w:rFonts w:hint="default"/>
          <w:lang w:val="en-US" w:eastAsia="zh-CN"/>
        </w:rPr>
        <w:t>配置管理策略</w:t>
      </w:r>
      <w:bookmarkEnd w:id="1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配置管理负责人需制定并维护配置管理策略，明确配置管理的目标、范围、角色与职责，定义配置项的命名规则、类别、属性、状态及相互关系。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7" w:name="_Toc1251"/>
      <w:r>
        <w:rPr>
          <w:rFonts w:hint="default"/>
          <w:lang w:val="en-US" w:eastAsia="zh-CN"/>
        </w:rPr>
        <w:t>配置管理范围定义</w:t>
      </w:r>
      <w:bookmarkEnd w:id="1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制定详细的配置项识别标准，明确纳入配置管理的资源类型和粒度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建立配置项分类体系，按照硬件、软件、文档、服务等维度进行分类管理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定义配置项的生命周期状态，包括：规划中、使用中、已停用、已报废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8" w:name="_Toc9700"/>
      <w:r>
        <w:rPr>
          <w:rFonts w:hint="default"/>
          <w:lang w:val="en-US" w:eastAsia="zh-CN"/>
        </w:rPr>
        <w:t>命名规范与属性定义</w:t>
      </w:r>
      <w:bookmarkEnd w:id="1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制定统一的配置项命名规则，确保唯一性和可识别性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定义各类配置项的关键属性，建立标准属性模板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建立配置项关系类型定义，包括：依赖、连接、包含、使用等关系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12240"/>
      <w:r>
        <w:rPr>
          <w:rFonts w:hint="default"/>
          <w:lang w:val="en-US" w:eastAsia="zh-CN"/>
        </w:rPr>
        <w:t>配置项识别与定义</w:t>
      </w:r>
      <w:bookmarkEnd w:id="19"/>
    </w:p>
    <w:p>
      <w:pPr>
        <w:pStyle w:val="3"/>
        <w:bidi w:val="0"/>
        <w:rPr>
          <w:rFonts w:hint="default"/>
          <w:lang w:val="en-US" w:eastAsia="zh-CN"/>
        </w:rPr>
      </w:pPr>
      <w:bookmarkStart w:id="20" w:name="_Toc13554"/>
      <w:r>
        <w:rPr>
          <w:rFonts w:hint="default"/>
          <w:lang w:val="en-US" w:eastAsia="zh-CN"/>
        </w:rPr>
        <w:t>配置项识别流程</w:t>
      </w:r>
      <w:bookmarkEnd w:id="2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建立系统化的配置项识别机制：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新配置项识别：在新系统上线或新设备采购时，同步识别和定义配置项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现有环境梳理：定期对现有环境进行配置项普查，确保无遗漏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变更触发识别：通过变更流程触发新配置项的识别和定义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1" w:name="_Toc16334"/>
      <w:r>
        <w:rPr>
          <w:rFonts w:hint="default"/>
          <w:lang w:val="en-US" w:eastAsia="zh-CN"/>
        </w:rPr>
        <w:t>配置项属性管理</w:t>
      </w:r>
      <w:bookmarkEnd w:id="2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核心属性：包括名称、型号、版本、责任人、位置、状态等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业务属性：关联的业务系统、服务级别、成本中心等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技术属性：配置参数、性能指标、兼容性信息等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关系属性：与其他配置项的关联关系和依赖关系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1951"/>
      <w:r>
        <w:rPr>
          <w:rFonts w:hint="default"/>
          <w:lang w:val="en-US" w:eastAsia="zh-CN"/>
        </w:rPr>
        <w:t>CMDB建设与维护</w:t>
      </w:r>
      <w:bookmarkEnd w:id="22"/>
    </w:p>
    <w:p>
      <w:pPr>
        <w:pStyle w:val="3"/>
        <w:bidi w:val="0"/>
        <w:rPr>
          <w:rFonts w:hint="default"/>
          <w:lang w:val="en-US" w:eastAsia="zh-CN"/>
        </w:rPr>
      </w:pPr>
      <w:bookmarkStart w:id="23" w:name="_Toc4465"/>
      <w:r>
        <w:rPr>
          <w:rFonts w:hint="default"/>
          <w:lang w:val="en-US" w:eastAsia="zh-CN"/>
        </w:rPr>
        <w:t>CMDB初始化</w:t>
      </w:r>
      <w:bookmarkEnd w:id="2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制定CMDB建设计划，分阶段实施配置项数据入库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建立数据质量验证机制，确保初始化数据的准确性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制定配置基线，记录系统初始状态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4" w:name="_Toc16606"/>
      <w:r>
        <w:rPr>
          <w:rFonts w:hint="default"/>
          <w:lang w:val="en-US" w:eastAsia="zh-CN"/>
        </w:rPr>
        <w:t>日常维护流程</w:t>
      </w:r>
      <w:bookmarkEnd w:id="2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变更同步：所有配置项变更必须实时同步更新CMDB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定期验证：每月对关键配置项数据进行抽样验证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问题处理：建立CMDB数据问题反馈和纠正机制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5" w:name="_Toc14815"/>
      <w:r>
        <w:rPr>
          <w:rFonts w:hint="default"/>
          <w:lang w:val="en-US" w:eastAsia="zh-CN"/>
        </w:rPr>
        <w:t>配置变更控制</w:t>
      </w:r>
      <w:bookmarkEnd w:id="25"/>
    </w:p>
    <w:p>
      <w:pPr>
        <w:pStyle w:val="3"/>
        <w:bidi w:val="0"/>
        <w:rPr>
          <w:rFonts w:hint="default"/>
          <w:lang w:val="en-US" w:eastAsia="zh-CN"/>
        </w:rPr>
      </w:pPr>
      <w:bookmarkStart w:id="26" w:name="_Toc12083"/>
      <w:r>
        <w:rPr>
          <w:rFonts w:hint="default"/>
          <w:lang w:val="en-US" w:eastAsia="zh-CN"/>
        </w:rPr>
        <w:t>变更触发机制</w:t>
      </w:r>
      <w:bookmarkEnd w:id="2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所有配置项变更必须通过正式的变更管理流程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建立变更与配置项的关联关系，确保可追溯性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重大变更前必须建立配置基线，便于回滚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7" w:name="_Toc2974"/>
      <w:r>
        <w:rPr>
          <w:rFonts w:hint="default"/>
          <w:lang w:val="en-US" w:eastAsia="zh-CN"/>
        </w:rPr>
        <w:t>变更验证流程</w:t>
      </w:r>
      <w:bookmarkEnd w:id="2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变更实施后必须验证CMDB数据的准确性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建立变更后配置项状态确认机制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对变更影响进行分析，更新相关配置项关系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8" w:name="_Toc26842"/>
      <w:r>
        <w:rPr>
          <w:rFonts w:hint="default"/>
          <w:lang w:val="en-US" w:eastAsia="zh-CN"/>
        </w:rPr>
        <w:t>配置状态报告</w:t>
      </w:r>
      <w:bookmarkEnd w:id="28"/>
    </w:p>
    <w:p>
      <w:pPr>
        <w:pStyle w:val="3"/>
        <w:bidi w:val="0"/>
        <w:rPr>
          <w:rFonts w:hint="default"/>
          <w:lang w:val="en-US" w:eastAsia="zh-CN"/>
        </w:rPr>
      </w:pPr>
      <w:bookmarkStart w:id="29" w:name="_Toc17054"/>
      <w:r>
        <w:rPr>
          <w:rFonts w:hint="default"/>
          <w:lang w:val="en-US" w:eastAsia="zh-CN"/>
        </w:rPr>
        <w:t>报告类型与内容</w:t>
      </w:r>
      <w:bookmarkEnd w:id="2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建立多层次的配置状态报告体系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0" w:name="_Toc17948"/>
      <w:r>
        <w:rPr>
          <w:rFonts w:hint="default"/>
          <w:lang w:val="en-US" w:eastAsia="zh-CN"/>
        </w:rPr>
        <w:t>报告分发与使用</w:t>
      </w:r>
      <w:bookmarkEnd w:id="3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建立报告分发清单，确保相关方及时获取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将配置数据用于容量规划、影响分析、故障定位等场景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基于报告发现推动配置管理改进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1" w:name="_Toc6580"/>
      <w:r>
        <w:rPr>
          <w:rFonts w:hint="default"/>
          <w:lang w:val="en-US" w:eastAsia="zh-CN"/>
        </w:rPr>
        <w:t>配置审计与改进</w:t>
      </w:r>
      <w:bookmarkEnd w:id="31"/>
    </w:p>
    <w:p>
      <w:pPr>
        <w:pStyle w:val="3"/>
        <w:bidi w:val="0"/>
        <w:rPr>
          <w:rFonts w:hint="default"/>
          <w:lang w:val="en-US" w:eastAsia="zh-CN"/>
        </w:rPr>
      </w:pPr>
      <w:bookmarkStart w:id="32" w:name="_Toc4961"/>
      <w:r>
        <w:rPr>
          <w:rFonts w:hint="default"/>
          <w:lang w:val="en-US" w:eastAsia="zh-CN"/>
        </w:rPr>
        <w:t>审计计划与执行</w:t>
      </w:r>
      <w:bookmarkEnd w:id="3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制定年度配置审计计划，覆盖所有关键配置项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采用定期审计与专项审计相结合的方式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审计范围包括：数据准确性、完整性、及时性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3" w:name="_Toc23789"/>
      <w:r>
        <w:rPr>
          <w:rFonts w:hint="default"/>
          <w:lang w:val="en-US" w:eastAsia="zh-CN"/>
        </w:rPr>
        <w:t>问题跟踪与改进</w:t>
      </w:r>
      <w:bookmarkEnd w:id="3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建立审计问题跟踪机制，确保问题及时解决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分析问题根本原因，制定预防措施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将审计结果纳入持续改进计划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4" w:name="_Toc24767"/>
      <w:r>
        <w:rPr>
          <w:rFonts w:hint="default"/>
          <w:lang w:val="en-US" w:eastAsia="zh-CN"/>
        </w:rPr>
        <w:t>关键控制点与测量指标</w:t>
      </w:r>
      <w:bookmarkEnd w:id="3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为确保配置管理流程的有效执行和持续改进，特设定以下关键控制点与量化测量指标。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5" w:name="_Toc26455"/>
      <w:r>
        <w:rPr>
          <w:rFonts w:hint="default"/>
          <w:lang w:val="en-US" w:eastAsia="zh-CN"/>
        </w:rPr>
        <w:t>关键控制点</w:t>
      </w:r>
      <w:bookmarkEnd w:id="35"/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所有配置项的增、删、改操作必须由变更管理流程正式触发。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CMDB的初始化及重大调整必须建立并经过配置基线审批。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定期配置审计必须执行，审计结果必须被回顾并用于改进。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6" w:name="_Toc17174"/>
      <w:r>
        <w:rPr>
          <w:rFonts w:hint="eastAsia"/>
          <w:lang w:val="en-US" w:eastAsia="zh-CN"/>
        </w:rPr>
        <w:t>过程测量指标</w:t>
      </w:r>
      <w:bookmarkEnd w:id="36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配置测量指标如表4-1所示</w:t>
      </w:r>
    </w:p>
    <w:p>
      <w:pPr>
        <w:pStyle w:val="a1"/>
        <w:ind w:left="0" w:right="0" w:firstLine="0" w:leftChars="0" w:rightChars="0" w:firstLineChars="0"/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</w:rPr>
        <w:t>过程测量指标</w:t>
      </w:r>
      <w:r>
        <w:rPr>
          <w:rFonts w:hint="eastAsia"/>
          <w:lang w:val="en-US" w:eastAsia="zh-CN"/>
        </w:rPr>
        <w:t>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705"/>
        <w:gridCol w:w="3771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77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eastAsia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配置准确率</w:t>
            </w:r>
          </w:p>
        </w:tc>
        <w:tc>
          <w:tcPr>
            <w:tcW w:w="3771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(</w:t>
            </w: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准确配置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 xml:space="preserve">次数 / </w:t>
            </w: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配置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总次数) × 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  <w:vertAlign w:val="baseline"/>
                <w:lang w:val="en-US" w:eastAsia="zh-CN"/>
              </w:rPr>
              <w:t>≥99%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37" w:name="bookmark3"/>
      <w:bookmarkEnd w:id="37"/>
      <w:bookmarkStart w:id="38" w:name="_Toc12339"/>
      <w:bookmarkStart w:id="39" w:name="_Toc17424"/>
      <w:r>
        <w:rPr>
          <w:rStyle w:val="1Char"/>
          <w:rFonts w:eastAsia="宋体" w:hint="eastAsia"/>
          <w:lang w:val="en-US" w:eastAsia="zh-CN"/>
        </w:rPr>
        <w:t>附则</w:t>
      </w:r>
      <w:bookmarkEnd w:id="38"/>
      <w:bookmarkEnd w:id="39"/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运维管理部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0" w:name="bookmark14"/>
      <w:bookmarkEnd w:id="40"/>
      <w:bookmarkStart w:id="41" w:name="_Toc15099"/>
      <w:r>
        <w:rPr>
          <w:rFonts w:hint="eastAsia"/>
          <w:lang w:val="en-US" w:eastAsia="zh-CN"/>
        </w:rPr>
        <w:t>附件</w:t>
      </w:r>
      <w:bookmarkEnd w:id="41"/>
    </w:p>
    <w:p>
      <w:pPr>
        <w:pStyle w:val="a3"/>
        <w:numPr>
          <w:ilvl w:val="0"/>
          <w:numId w:val="8"/>
        </w:numPr>
        <w:bidi w:val="0"/>
      </w:pPr>
      <w:r>
        <w:t>《配置项分类定义表》</w:t>
      </w:r>
    </w:p>
    <w:p>
      <w:pPr>
        <w:pStyle w:val="a3"/>
        <w:numPr>
          <w:ilvl w:val="0"/>
          <w:numId w:val="8"/>
        </w:numPr>
        <w:bidi w:val="0"/>
      </w:pPr>
      <w:r>
        <w:rPr>
          <w:rFonts w:hint="default"/>
        </w:rPr>
        <w:t>《配置项属性表》</w:t>
      </w:r>
    </w:p>
    <w:p>
      <w:pPr>
        <w:pStyle w:val="a3"/>
        <w:numPr>
          <w:ilvl w:val="0"/>
          <w:numId w:val="8"/>
        </w:numPr>
        <w:bidi w:val="0"/>
      </w:pPr>
      <w:r>
        <w:rPr>
          <w:rFonts w:hint="default"/>
        </w:rPr>
        <w:t>《配置项基本信息审计表》</w:t>
      </w:r>
    </w:p>
    <w:p>
      <w:pPr>
        <w:pStyle w:val="a3"/>
        <w:numPr>
          <w:ilvl w:val="0"/>
          <w:numId w:val="8"/>
        </w:numPr>
        <w:bidi w:val="0"/>
      </w:pPr>
      <w:r>
        <w:rPr>
          <w:rFonts w:hint="default"/>
        </w:rPr>
        <w:t>《配置状态报告模板》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2" w:name="_Toc27318"/>
      <w:r>
        <w:rPr>
          <w:rFonts w:hint="eastAsia"/>
          <w:lang w:val="en-US" w:eastAsia="zh-CN"/>
        </w:rPr>
        <w:t>记录</w:t>
      </w:r>
      <w:bookmarkEnd w:id="42"/>
    </w:p>
    <w:p>
      <w:pPr>
        <w:pStyle w:val="a1"/>
        <w:bidi w:val="0"/>
      </w:pPr>
      <w:r>
        <w:t>配置管理过程中产生的所有记录，包括但不限于各类定义表、审计表、状态报告及配置审计报告，应由运维管理部统一保存，保存期限不少于3年。</w:t>
      </w:r>
    </w:p>
    <w:p>
      <w:pPr>
        <w:pStyle w:val="a1"/>
        <w:rPr>
          <w:rFonts w:hint="default"/>
          <w:lang w:val="en-US" w:eastAsia="zh-CN"/>
        </w:rPr>
      </w:pP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D6A6CC54"/>
    <w:multiLevelType w:val="singleLevel"/>
    <w:tmpl w:val="D6A6CC5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DACB509"/>
    <w:multiLevelType w:val="singleLevel"/>
    <w:tmpl w:val="DDACB50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02D13D59"/>
    <w:multiLevelType w:val="singleLevel"/>
    <w:tmpl w:val="02D13D5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EC9C27E"/>
    <w:multiLevelType w:val="singleLevel"/>
    <w:tmpl w:val="2EC9C27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B69818F"/>
    <w:multiLevelType w:val="singleLevel"/>
    <w:tmpl w:val="6B69818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DCEB3CB"/>
    <w:multiLevelType w:val="singleLevel"/>
    <w:tmpl w:val="6DCEB3C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6"/>
  </w:num>
  <w:num w:numId="6">
    <w:abstractNumId w:val="4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2382</Words>
  <Characters>2670</Characters>
  <Application>Microsoft Office Word</Application>
  <DocSecurity>0</DocSecurity>
  <Lines>0</Lines>
  <Paragraphs>0</Paragraphs>
  <ScaleCrop>false</ScaleCrop>
  <Company/>
  <LinksUpToDate>false</LinksUpToDate>
  <CharactersWithSpaces>2843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2025-12-02T11:12:56Z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