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7C8B8">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1406"/>
      <w:r>
        <w:rPr>
          <w:rFonts w:hint="eastAsia"/>
          <w:lang w:val="en-US" w:eastAsia="zh-CN"/>
        </w:rPr>
        <w:t>北京新都远景网络技术有限公司</w:t>
      </w:r>
      <w:bookmarkEnd w:id="0"/>
    </w:p>
    <w:p w14:paraId="0F9BD5AF">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sz w:val="48"/>
          <w:szCs w:val="48"/>
          <w:lang w:val="en-US" w:eastAsia="zh-CN"/>
        </w:rPr>
      </w:pPr>
      <w:bookmarkStart w:id="1" w:name="_Toc14298"/>
      <w:r>
        <w:rPr>
          <w:sz w:val="48"/>
          <w:szCs w:val="48"/>
        </w:rPr>
        <w:drawing>
          <wp:anchor distT="0" distB="0" distL="114300" distR="114300" simplePos="0" relativeHeight="251659264" behindDoc="1" locked="0" layoutInCell="1" allowOverlap="1">
            <wp:simplePos x="0" y="0"/>
            <wp:positionH relativeFrom="column">
              <wp:posOffset>0</wp:posOffset>
            </wp:positionH>
            <wp:positionV relativeFrom="paragraph">
              <wp:posOffset>-3811905</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sz w:val="48"/>
          <w:szCs w:val="48"/>
          <w:lang w:val="en-US" w:eastAsia="zh-CN"/>
        </w:rPr>
        <w:t>安徽益联-丰盈云人力资源服务业财一体化管理系统-过程框架设计会议纪要</w:t>
      </w:r>
      <w:bookmarkEnd w:id="1"/>
    </w:p>
    <w:p w14:paraId="2D5E1F2A">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13</w:t>
      </w:r>
      <w:bookmarkStart w:id="14" w:name="_GoBack"/>
      <w:bookmarkEnd w:id="14"/>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6C6BF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1E47FB1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运维管理部</w:t>
            </w:r>
          </w:p>
        </w:tc>
        <w:tc>
          <w:tcPr>
            <w:tcW w:w="2708" w:type="dxa"/>
          </w:tcPr>
          <w:p w14:paraId="1468E10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2025.02.20</w:t>
            </w:r>
          </w:p>
        </w:tc>
      </w:tr>
      <w:tr w14:paraId="6E16A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90D606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3F135CF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2025.02.20</w:t>
            </w:r>
          </w:p>
        </w:tc>
      </w:tr>
      <w:tr w14:paraId="00415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93124C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孙玥</w:t>
            </w:r>
          </w:p>
        </w:tc>
        <w:tc>
          <w:tcPr>
            <w:tcW w:w="2708" w:type="dxa"/>
          </w:tcPr>
          <w:p w14:paraId="7B69A47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2025.02.20</w:t>
            </w:r>
          </w:p>
        </w:tc>
      </w:tr>
    </w:tbl>
    <w:p w14:paraId="17EC6555">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1F00E8E8">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3E76E8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129ED827">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45FDF408">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19D3E363">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4B792D89">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18370C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105FF959">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20</w:t>
            </w:r>
          </w:p>
        </w:tc>
        <w:tc>
          <w:tcPr>
            <w:tcW w:w="919" w:type="dxa"/>
          </w:tcPr>
          <w:p w14:paraId="746698C0">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095B32AF">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0FD3522">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1C04CC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46C6DA4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6266BE0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1B5B61E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156FFD5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22B4D9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2686D21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7B3AF52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0E4968A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49823E5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4B6103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67F39E0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7C3EB62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217B808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2274420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18EB85DC">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14BFC158">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2E2BB03F">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_Toc11406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_Toc11406 \h </w:instrText>
          </w:r>
          <w:r>
            <w:fldChar w:fldCharType="separate"/>
          </w:r>
          <w:r>
            <w:t>1</w:t>
          </w:r>
          <w:r>
            <w:fldChar w:fldCharType="end"/>
          </w:r>
          <w:r>
            <w:rPr>
              <w:rFonts w:hint="eastAsia" w:ascii="宋体" w:hAnsi="宋体" w:eastAsia="宋体" w:cs="宋体"/>
              <w:szCs w:val="24"/>
            </w:rPr>
            <w:fldChar w:fldCharType="end"/>
          </w:r>
        </w:p>
        <w:p w14:paraId="2B033D8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_Toc14298 </w:instrText>
          </w:r>
          <w:r>
            <w:rPr>
              <w:rFonts w:hint="eastAsia" w:ascii="宋体" w:hAnsi="宋体" w:eastAsia="宋体" w:cs="宋体"/>
              <w:szCs w:val="24"/>
            </w:rPr>
            <w:fldChar w:fldCharType="separate"/>
          </w:r>
          <w:r>
            <w:rPr>
              <w:rFonts w:hint="eastAsia"/>
              <w:szCs w:val="48"/>
              <w:lang w:val="en-US" w:eastAsia="zh-CN"/>
            </w:rPr>
            <w:t>安徽益联-丰盈云人力资源服务业财一体化管理系统-过程框架设计会议纪要</w:t>
          </w:r>
          <w:r>
            <w:tab/>
          </w:r>
          <w:r>
            <w:fldChar w:fldCharType="begin"/>
          </w:r>
          <w:r>
            <w:instrText xml:space="preserve"> PAGEREF _Toc14298 \h </w:instrText>
          </w:r>
          <w:r>
            <w:fldChar w:fldCharType="separate"/>
          </w:r>
          <w:r>
            <w:t>1</w:t>
          </w:r>
          <w:r>
            <w:fldChar w:fldCharType="end"/>
          </w:r>
          <w:r>
            <w:rPr>
              <w:rFonts w:hint="eastAsia" w:ascii="宋体" w:hAnsi="宋体" w:eastAsia="宋体" w:cs="宋体"/>
              <w:szCs w:val="24"/>
            </w:rPr>
            <w:fldChar w:fldCharType="end"/>
          </w:r>
        </w:p>
        <w:p w14:paraId="5556E74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_Toc4706 </w:instrText>
          </w:r>
          <w:r>
            <w:rPr>
              <w:rFonts w:hint="eastAsia" w:ascii="宋体" w:hAnsi="宋体" w:eastAsia="宋体" w:cs="宋体"/>
              <w:szCs w:val="24"/>
            </w:rPr>
            <w:fldChar w:fldCharType="separate"/>
          </w:r>
          <w:r>
            <w:rPr>
              <w:rFonts w:hint="default"/>
              <w:lang w:val="en-US" w:eastAsia="zh-CN"/>
            </w:rPr>
            <w:t>1. 会议基本信息</w:t>
          </w:r>
          <w:r>
            <w:tab/>
          </w:r>
          <w:r>
            <w:fldChar w:fldCharType="begin"/>
          </w:r>
          <w:r>
            <w:instrText xml:space="preserve"> PAGEREF _Toc4706 \h </w:instrText>
          </w:r>
          <w:r>
            <w:fldChar w:fldCharType="separate"/>
          </w:r>
          <w:r>
            <w:t>4</w:t>
          </w:r>
          <w:r>
            <w:fldChar w:fldCharType="end"/>
          </w:r>
          <w:r>
            <w:rPr>
              <w:rFonts w:hint="eastAsia" w:ascii="宋体" w:hAnsi="宋体" w:eastAsia="宋体" w:cs="宋体"/>
              <w:szCs w:val="24"/>
            </w:rPr>
            <w:fldChar w:fldCharType="end"/>
          </w:r>
        </w:p>
        <w:p w14:paraId="3DA2174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_Toc27125 </w:instrText>
          </w:r>
          <w:r>
            <w:rPr>
              <w:rFonts w:hint="eastAsia" w:ascii="宋体" w:hAnsi="宋体" w:eastAsia="宋体" w:cs="宋体"/>
              <w:szCs w:val="24"/>
            </w:rPr>
            <w:fldChar w:fldCharType="separate"/>
          </w:r>
          <w:r>
            <w:rPr>
              <w:rFonts w:hint="default"/>
              <w:lang w:val="en-US" w:eastAsia="zh-CN"/>
            </w:rPr>
            <w:t>2. 会议议程与目的</w:t>
          </w:r>
          <w:r>
            <w:tab/>
          </w:r>
          <w:r>
            <w:fldChar w:fldCharType="begin"/>
          </w:r>
          <w:r>
            <w:instrText xml:space="preserve"> PAGEREF _Toc27125 \h </w:instrText>
          </w:r>
          <w:r>
            <w:fldChar w:fldCharType="separate"/>
          </w:r>
          <w:r>
            <w:t>4</w:t>
          </w:r>
          <w:r>
            <w:fldChar w:fldCharType="end"/>
          </w:r>
          <w:r>
            <w:rPr>
              <w:rFonts w:hint="eastAsia" w:ascii="宋体" w:hAnsi="宋体" w:eastAsia="宋体" w:cs="宋体"/>
              <w:szCs w:val="24"/>
            </w:rPr>
            <w:fldChar w:fldCharType="end"/>
          </w:r>
        </w:p>
        <w:p w14:paraId="3750301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_Toc22636 </w:instrText>
          </w:r>
          <w:r>
            <w:rPr>
              <w:rFonts w:hint="eastAsia" w:ascii="宋体" w:hAnsi="宋体" w:eastAsia="宋体" w:cs="宋体"/>
              <w:szCs w:val="24"/>
            </w:rPr>
            <w:fldChar w:fldCharType="separate"/>
          </w:r>
          <w:r>
            <w:rPr>
              <w:rFonts w:hint="default"/>
              <w:lang w:val="en-US" w:eastAsia="zh-CN"/>
            </w:rPr>
            <w:t>3. 主要内容与决议</w:t>
          </w:r>
          <w:r>
            <w:tab/>
          </w:r>
          <w:r>
            <w:fldChar w:fldCharType="begin"/>
          </w:r>
          <w:r>
            <w:instrText xml:space="preserve"> PAGEREF _Toc22636 \h </w:instrText>
          </w:r>
          <w:r>
            <w:fldChar w:fldCharType="separate"/>
          </w:r>
          <w:r>
            <w:t>4</w:t>
          </w:r>
          <w:r>
            <w:fldChar w:fldCharType="end"/>
          </w:r>
          <w:r>
            <w:rPr>
              <w:rFonts w:hint="eastAsia" w:ascii="宋体" w:hAnsi="宋体" w:eastAsia="宋体" w:cs="宋体"/>
              <w:szCs w:val="24"/>
            </w:rPr>
            <w:fldChar w:fldCharType="end"/>
          </w:r>
        </w:p>
        <w:p w14:paraId="66CE3B5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_Toc28008 </w:instrText>
          </w:r>
          <w:r>
            <w:rPr>
              <w:rFonts w:hint="eastAsia" w:ascii="宋体" w:hAnsi="宋体" w:eastAsia="宋体" w:cs="宋体"/>
              <w:szCs w:val="24"/>
            </w:rPr>
            <w:fldChar w:fldCharType="separate"/>
          </w:r>
          <w:r>
            <w:rPr>
              <w:rFonts w:hint="default"/>
              <w:lang w:val="en-US" w:eastAsia="zh-CN"/>
            </w:rPr>
            <w:t>3.1. 核心管控过程识别</w:t>
          </w:r>
          <w:r>
            <w:tab/>
          </w:r>
          <w:r>
            <w:fldChar w:fldCharType="begin"/>
          </w:r>
          <w:r>
            <w:instrText xml:space="preserve"> PAGEREF _Toc28008 \h </w:instrText>
          </w:r>
          <w:r>
            <w:fldChar w:fldCharType="separate"/>
          </w:r>
          <w:r>
            <w:t>4</w:t>
          </w:r>
          <w:r>
            <w:fldChar w:fldCharType="end"/>
          </w:r>
          <w:r>
            <w:rPr>
              <w:rFonts w:hint="eastAsia" w:ascii="宋体" w:hAnsi="宋体" w:eastAsia="宋体" w:cs="宋体"/>
              <w:szCs w:val="24"/>
            </w:rPr>
            <w:fldChar w:fldCharType="end"/>
          </w:r>
        </w:p>
        <w:p w14:paraId="2051B6E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_Toc3452 </w:instrText>
          </w:r>
          <w:r>
            <w:rPr>
              <w:rFonts w:hint="eastAsia" w:ascii="宋体" w:hAnsi="宋体" w:eastAsia="宋体" w:cs="宋体"/>
              <w:szCs w:val="24"/>
            </w:rPr>
            <w:fldChar w:fldCharType="separate"/>
          </w:r>
          <w:r>
            <w:rPr>
              <w:rFonts w:hint="default"/>
              <w:lang w:val="en-US" w:eastAsia="zh-CN"/>
            </w:rPr>
            <w:t>3.2. 关键流程设计与接口定义</w:t>
          </w:r>
          <w:r>
            <w:tab/>
          </w:r>
          <w:r>
            <w:fldChar w:fldCharType="begin"/>
          </w:r>
          <w:r>
            <w:instrText xml:space="preserve"> PAGEREF _Toc3452 \h </w:instrText>
          </w:r>
          <w:r>
            <w:fldChar w:fldCharType="separate"/>
          </w:r>
          <w:r>
            <w:t>4</w:t>
          </w:r>
          <w:r>
            <w:fldChar w:fldCharType="end"/>
          </w:r>
          <w:r>
            <w:rPr>
              <w:rFonts w:hint="eastAsia" w:ascii="宋体" w:hAnsi="宋体" w:eastAsia="宋体" w:cs="宋体"/>
              <w:szCs w:val="24"/>
            </w:rPr>
            <w:fldChar w:fldCharType="end"/>
          </w:r>
        </w:p>
        <w:p w14:paraId="3834D1E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_Toc20374 </w:instrText>
          </w:r>
          <w:r>
            <w:rPr>
              <w:rFonts w:hint="eastAsia" w:ascii="宋体" w:hAnsi="宋体" w:eastAsia="宋体" w:cs="宋体"/>
              <w:szCs w:val="24"/>
            </w:rPr>
            <w:fldChar w:fldCharType="separate"/>
          </w:r>
          <w:r>
            <w:rPr>
              <w:rFonts w:hint="default"/>
              <w:lang w:val="en-US" w:eastAsia="zh-CN"/>
            </w:rPr>
            <w:t>3.3. 验收流程</w:t>
          </w:r>
          <w:r>
            <w:tab/>
          </w:r>
          <w:r>
            <w:fldChar w:fldCharType="begin"/>
          </w:r>
          <w:r>
            <w:instrText xml:space="preserve"> PAGEREF _Toc20374 \h </w:instrText>
          </w:r>
          <w:r>
            <w:fldChar w:fldCharType="separate"/>
          </w:r>
          <w:r>
            <w:t>4</w:t>
          </w:r>
          <w:r>
            <w:fldChar w:fldCharType="end"/>
          </w:r>
          <w:r>
            <w:rPr>
              <w:rFonts w:hint="eastAsia" w:ascii="宋体" w:hAnsi="宋体" w:eastAsia="宋体" w:cs="宋体"/>
              <w:szCs w:val="24"/>
            </w:rPr>
            <w:fldChar w:fldCharType="end"/>
          </w:r>
        </w:p>
        <w:p w14:paraId="1635B2B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_Toc9208 </w:instrText>
          </w:r>
          <w:r>
            <w:rPr>
              <w:rFonts w:hint="eastAsia" w:ascii="宋体" w:hAnsi="宋体" w:eastAsia="宋体" w:cs="宋体"/>
              <w:szCs w:val="24"/>
            </w:rPr>
            <w:fldChar w:fldCharType="separate"/>
          </w:r>
          <w:r>
            <w:rPr>
              <w:rFonts w:hint="default"/>
              <w:lang w:val="en-US" w:eastAsia="zh-CN"/>
            </w:rPr>
            <w:t>3.4. 付款流程</w:t>
          </w:r>
          <w:r>
            <w:tab/>
          </w:r>
          <w:r>
            <w:fldChar w:fldCharType="begin"/>
          </w:r>
          <w:r>
            <w:instrText xml:space="preserve"> PAGEREF _Toc9208 \h </w:instrText>
          </w:r>
          <w:r>
            <w:fldChar w:fldCharType="separate"/>
          </w:r>
          <w:r>
            <w:t>5</w:t>
          </w:r>
          <w:r>
            <w:fldChar w:fldCharType="end"/>
          </w:r>
          <w:r>
            <w:rPr>
              <w:rFonts w:hint="eastAsia" w:ascii="宋体" w:hAnsi="宋体" w:eastAsia="宋体" w:cs="宋体"/>
              <w:szCs w:val="24"/>
            </w:rPr>
            <w:fldChar w:fldCharType="end"/>
          </w:r>
        </w:p>
        <w:p w14:paraId="29C329B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_Toc4524 </w:instrText>
          </w:r>
          <w:r>
            <w:rPr>
              <w:rFonts w:hint="eastAsia" w:ascii="宋体" w:hAnsi="宋体" w:eastAsia="宋体" w:cs="宋体"/>
              <w:szCs w:val="24"/>
            </w:rPr>
            <w:fldChar w:fldCharType="separate"/>
          </w:r>
          <w:r>
            <w:rPr>
              <w:rFonts w:hint="default"/>
              <w:lang w:val="en-US" w:eastAsia="zh-CN"/>
            </w:rPr>
            <w:t>3.5. 运维服务流程</w:t>
          </w:r>
          <w:r>
            <w:tab/>
          </w:r>
          <w:r>
            <w:fldChar w:fldCharType="begin"/>
          </w:r>
          <w:r>
            <w:instrText xml:space="preserve"> PAGEREF _Toc4524 \h </w:instrText>
          </w:r>
          <w:r>
            <w:fldChar w:fldCharType="separate"/>
          </w:r>
          <w:r>
            <w:t>5</w:t>
          </w:r>
          <w:r>
            <w:fldChar w:fldCharType="end"/>
          </w:r>
          <w:r>
            <w:rPr>
              <w:rFonts w:hint="eastAsia" w:ascii="宋体" w:hAnsi="宋体" w:eastAsia="宋体" w:cs="宋体"/>
              <w:szCs w:val="24"/>
            </w:rPr>
            <w:fldChar w:fldCharType="end"/>
          </w:r>
        </w:p>
        <w:p w14:paraId="2B3DAA5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_Toc5938 </w:instrText>
          </w:r>
          <w:r>
            <w:rPr>
              <w:rFonts w:hint="eastAsia" w:ascii="宋体" w:hAnsi="宋体" w:eastAsia="宋体" w:cs="宋体"/>
              <w:szCs w:val="24"/>
            </w:rPr>
            <w:fldChar w:fldCharType="separate"/>
          </w:r>
          <w:r>
            <w:rPr>
              <w:rFonts w:hint="default"/>
              <w:lang w:val="en-US" w:eastAsia="zh-CN"/>
            </w:rPr>
            <w:t>3.6. 知识资产管理流程</w:t>
          </w:r>
          <w:r>
            <w:tab/>
          </w:r>
          <w:r>
            <w:fldChar w:fldCharType="begin"/>
          </w:r>
          <w:r>
            <w:instrText xml:space="preserve"> PAGEREF _Toc5938 \h </w:instrText>
          </w:r>
          <w:r>
            <w:fldChar w:fldCharType="separate"/>
          </w:r>
          <w:r>
            <w:t>5</w:t>
          </w:r>
          <w:r>
            <w:fldChar w:fldCharType="end"/>
          </w:r>
          <w:r>
            <w:rPr>
              <w:rFonts w:hint="eastAsia" w:ascii="宋体" w:hAnsi="宋体" w:eastAsia="宋体" w:cs="宋体"/>
              <w:szCs w:val="24"/>
            </w:rPr>
            <w:fldChar w:fldCharType="end"/>
          </w:r>
        </w:p>
        <w:p w14:paraId="5EFB720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_Toc11564 </w:instrText>
          </w:r>
          <w:r>
            <w:rPr>
              <w:rFonts w:hint="eastAsia" w:ascii="宋体" w:hAnsi="宋体" w:eastAsia="宋体" w:cs="宋体"/>
              <w:szCs w:val="24"/>
            </w:rPr>
            <w:fldChar w:fldCharType="separate"/>
          </w:r>
          <w:r>
            <w:rPr>
              <w:rFonts w:hint="default"/>
              <w:lang w:val="en-US" w:eastAsia="zh-CN"/>
            </w:rPr>
            <w:t>3.7. 角色与职责明确</w:t>
          </w:r>
          <w:r>
            <w:tab/>
          </w:r>
          <w:r>
            <w:fldChar w:fldCharType="begin"/>
          </w:r>
          <w:r>
            <w:instrText xml:space="preserve"> PAGEREF _Toc11564 \h </w:instrText>
          </w:r>
          <w:r>
            <w:fldChar w:fldCharType="separate"/>
          </w:r>
          <w:r>
            <w:t>5</w:t>
          </w:r>
          <w:r>
            <w:fldChar w:fldCharType="end"/>
          </w:r>
          <w:r>
            <w:rPr>
              <w:rFonts w:hint="eastAsia" w:ascii="宋体" w:hAnsi="宋体" w:eastAsia="宋体" w:cs="宋体"/>
              <w:szCs w:val="24"/>
            </w:rPr>
            <w:fldChar w:fldCharType="end"/>
          </w:r>
        </w:p>
        <w:p w14:paraId="0BED364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 </w:instrText>
          </w:r>
          <w:r>
            <w:rPr>
              <w:rFonts w:hint="eastAsia" w:ascii="宋体" w:hAnsi="宋体" w:eastAsia="宋体" w:cs="宋体"/>
              <w:szCs w:val="24"/>
            </w:rPr>
            <w:fldChar w:fldCharType="separate"/>
          </w:r>
          <w:r>
            <w:rPr>
              <w:rFonts w:hint="default"/>
              <w:lang w:val="en-US" w:eastAsia="zh-CN"/>
            </w:rPr>
            <w:t>4. 会议决议</w:t>
          </w:r>
          <w:r>
            <w:tab/>
          </w:r>
          <w:r>
            <w:fldChar w:fldCharType="begin"/>
          </w:r>
          <w:r>
            <w:instrText xml:space="preserve"> PAGEREF _Toc78 \h </w:instrText>
          </w:r>
          <w:r>
            <w:fldChar w:fldCharType="separate"/>
          </w:r>
          <w:r>
            <w:t>6</w:t>
          </w:r>
          <w:r>
            <w:fldChar w:fldCharType="end"/>
          </w:r>
          <w:r>
            <w:rPr>
              <w:rFonts w:hint="eastAsia" w:ascii="宋体" w:hAnsi="宋体" w:eastAsia="宋体" w:cs="宋体"/>
              <w:szCs w:val="24"/>
            </w:rPr>
            <w:fldChar w:fldCharType="end"/>
          </w:r>
        </w:p>
        <w:p w14:paraId="14D3C35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_Toc28070 </w:instrText>
          </w:r>
          <w:r>
            <w:rPr>
              <w:rFonts w:hint="eastAsia" w:ascii="宋体" w:hAnsi="宋体" w:eastAsia="宋体" w:cs="宋体"/>
              <w:szCs w:val="24"/>
            </w:rPr>
            <w:fldChar w:fldCharType="separate"/>
          </w:r>
          <w:r>
            <w:rPr>
              <w:rFonts w:hint="default"/>
              <w:lang w:val="en-US" w:eastAsia="zh-CN"/>
            </w:rPr>
            <w:t>5. 下一步行动</w:t>
          </w:r>
          <w:r>
            <w:tab/>
          </w:r>
          <w:r>
            <w:fldChar w:fldCharType="begin"/>
          </w:r>
          <w:r>
            <w:instrText xml:space="preserve"> PAGEREF _Toc28070 \h </w:instrText>
          </w:r>
          <w:r>
            <w:fldChar w:fldCharType="separate"/>
          </w:r>
          <w:r>
            <w:t>6</w:t>
          </w:r>
          <w:r>
            <w:fldChar w:fldCharType="end"/>
          </w:r>
          <w:r>
            <w:rPr>
              <w:rFonts w:hint="eastAsia" w:ascii="宋体" w:hAnsi="宋体" w:eastAsia="宋体" w:cs="宋体"/>
              <w:szCs w:val="24"/>
            </w:rPr>
            <w:fldChar w:fldCharType="end"/>
          </w:r>
        </w:p>
        <w:p w14:paraId="4D63477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A23E09D">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72A03D8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4706"/>
      <w:r>
        <w:rPr>
          <w:rFonts w:hint="default"/>
          <w:lang w:val="en-US" w:eastAsia="zh-CN"/>
        </w:rPr>
        <w:t>会议基本信息</w:t>
      </w:r>
      <w:bookmarkEnd w:id="2"/>
    </w:p>
    <w:p w14:paraId="30383D7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会议主题：“</w:t>
      </w:r>
      <w:r>
        <w:rPr>
          <w:rFonts w:hint="eastAsia"/>
          <w:lang w:val="en-US" w:eastAsia="zh-CN"/>
        </w:rPr>
        <w:t>安徽益联-丰盈云人力资源服务业财一体化管理系统</w:t>
      </w:r>
      <w:r>
        <w:rPr>
          <w:rFonts w:hint="default"/>
          <w:lang w:val="en-US" w:eastAsia="zh-CN"/>
        </w:rPr>
        <w:t>”实施与运维过程框架设计会</w:t>
      </w:r>
    </w:p>
    <w:p w14:paraId="64B9CE2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会议时间：202</w:t>
      </w:r>
      <w:r>
        <w:rPr>
          <w:rFonts w:hint="eastAsia"/>
          <w:lang w:val="en-US" w:eastAsia="zh-CN"/>
        </w:rPr>
        <w:t>5</w:t>
      </w:r>
      <w:r>
        <w:rPr>
          <w:rFonts w:hint="default"/>
          <w:lang w:val="en-US" w:eastAsia="zh-CN"/>
        </w:rPr>
        <w:t>年</w:t>
      </w:r>
      <w:r>
        <w:rPr>
          <w:rFonts w:hint="eastAsia"/>
          <w:lang w:val="en-US" w:eastAsia="zh-CN"/>
        </w:rPr>
        <w:t>2</w:t>
      </w:r>
      <w:r>
        <w:rPr>
          <w:rFonts w:hint="default"/>
          <w:lang w:val="en-US" w:eastAsia="zh-CN"/>
        </w:rPr>
        <w:t>月</w:t>
      </w:r>
      <w:r>
        <w:rPr>
          <w:rFonts w:hint="eastAsia"/>
          <w:lang w:val="en-US" w:eastAsia="zh-CN"/>
        </w:rPr>
        <w:t>20</w:t>
      </w:r>
      <w:r>
        <w:rPr>
          <w:rFonts w:hint="default"/>
          <w:lang w:val="en-US" w:eastAsia="zh-CN"/>
        </w:rPr>
        <w:t>日14:30 - 16:00</w:t>
      </w:r>
    </w:p>
    <w:p w14:paraId="7558705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会议地点：北京新都远景网络技术有限公司项目组会议室</w:t>
      </w:r>
    </w:p>
    <w:p w14:paraId="1BB3525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主持人：王豪豪</w:t>
      </w:r>
    </w:p>
    <w:p w14:paraId="173E597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与会人员：</w:t>
      </w:r>
    </w:p>
    <w:p w14:paraId="63B849F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甲方</w:t>
      </w:r>
      <w:r>
        <w:rPr>
          <w:rFonts w:hint="eastAsia"/>
          <w:lang w:val="en-US" w:eastAsia="zh-CN"/>
        </w:rPr>
        <w:t>：安徽益联</w:t>
      </w:r>
      <w:r>
        <w:rPr>
          <w:rFonts w:hint="default"/>
          <w:lang w:val="en-US" w:eastAsia="zh-CN"/>
        </w:rPr>
        <w:t>科技有限公司</w:t>
      </w:r>
      <w:r>
        <w:rPr>
          <w:rFonts w:hint="eastAsia"/>
          <w:lang w:val="en-US" w:eastAsia="zh-CN"/>
        </w:rPr>
        <w:t>业务人员</w:t>
      </w:r>
    </w:p>
    <w:p w14:paraId="1D9126B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乙方（北京新都远景网络技术有限公司）：王豪豪、雷振霞</w:t>
      </w:r>
      <w:r>
        <w:rPr>
          <w:rFonts w:hint="eastAsia"/>
          <w:lang w:val="en-US" w:eastAsia="zh-CN"/>
        </w:rPr>
        <w:t>、田立森</w:t>
      </w:r>
    </w:p>
    <w:p w14:paraId="13F48EA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记录人：</w:t>
      </w:r>
      <w:r>
        <w:rPr>
          <w:rFonts w:hint="eastAsia"/>
          <w:lang w:val="en-US" w:eastAsia="zh-CN"/>
        </w:rPr>
        <w:t>田立森</w:t>
      </w:r>
    </w:p>
    <w:p w14:paraId="0269BD40">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7125"/>
      <w:r>
        <w:rPr>
          <w:rFonts w:hint="default"/>
          <w:lang w:val="en-US" w:eastAsia="zh-CN"/>
        </w:rPr>
        <w:t>会议议程与目的</w:t>
      </w:r>
      <w:bookmarkEnd w:id="3"/>
    </w:p>
    <w:p w14:paraId="09574D8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本次会议旨在为“</w:t>
      </w:r>
      <w:r>
        <w:rPr>
          <w:rFonts w:hint="eastAsia"/>
          <w:lang w:val="en-US" w:eastAsia="zh-CN"/>
        </w:rPr>
        <w:t>安徽益联-丰盈云人力资源服务业财一体化管理系统</w:t>
      </w:r>
      <w:r>
        <w:rPr>
          <w:rFonts w:hint="default"/>
          <w:lang w:val="en-US" w:eastAsia="zh-CN"/>
        </w:rPr>
        <w:t>”建立清晰的过程管理框架，明确项目实施、验收及未来五年运维服务期间的关键流程、双方职责与协作接口，确保项目交付物清晰、过程可控、协作顺畅。</w:t>
      </w:r>
    </w:p>
    <w:p w14:paraId="1E1870F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2636"/>
      <w:r>
        <w:rPr>
          <w:rFonts w:hint="default"/>
          <w:lang w:val="en-US" w:eastAsia="zh-CN"/>
        </w:rPr>
        <w:t>主要内容与决议</w:t>
      </w:r>
      <w:bookmarkEnd w:id="4"/>
    </w:p>
    <w:p w14:paraId="442E92C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经双方与会代表充分讨论，就本项目的过程管理框架达成以下共识并形成决议：</w:t>
      </w:r>
    </w:p>
    <w:p w14:paraId="5E59130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28008"/>
      <w:r>
        <w:rPr>
          <w:rFonts w:hint="default"/>
          <w:lang w:val="en-US" w:eastAsia="zh-CN"/>
        </w:rPr>
        <w:t>核心管控过程识别</w:t>
      </w:r>
      <w:bookmarkEnd w:id="5"/>
    </w:p>
    <w:p w14:paraId="3F27EAA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会议一致确认，本项目生命周期内需重点管控以下核心过程：项目交付与部署、变更控制、分阶段验收（到货、试运行、最终）、知识转移与培训、运维服务响应（事件/问题管理）、合同付款审核。</w:t>
      </w:r>
    </w:p>
    <w:p w14:paraId="2C9F273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3452"/>
      <w:r>
        <w:rPr>
          <w:rFonts w:hint="default"/>
          <w:lang w:val="en-US" w:eastAsia="zh-CN"/>
        </w:rPr>
        <w:t>关键流程设计与接口定义</w:t>
      </w:r>
      <w:bookmarkEnd w:id="6"/>
    </w:p>
    <w:p w14:paraId="4F49B9E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0374"/>
      <w:r>
        <w:rPr>
          <w:rFonts w:hint="default"/>
          <w:lang w:val="en-US" w:eastAsia="zh-CN"/>
        </w:rPr>
        <w:t>验收流程</w:t>
      </w:r>
      <w:bookmarkEnd w:id="7"/>
    </w:p>
    <w:p w14:paraId="16C278A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明确划分为“</w:t>
      </w:r>
      <w:r>
        <w:rPr>
          <w:rFonts w:hint="eastAsia"/>
          <w:lang w:val="en-US" w:eastAsia="zh-CN"/>
        </w:rPr>
        <w:t>部署</w:t>
      </w:r>
      <w:r>
        <w:rPr>
          <w:rFonts w:hint="default"/>
          <w:lang w:val="en-US" w:eastAsia="zh-CN"/>
        </w:rPr>
        <w:t>”、“试运行”、“最终验收”三个阶段。最终验收报告的签署是项目尾款支付申请及五年质保期起算的唯一前提。试运行期间发现的所有问题，由乙方负责解决且该阶段不计入质保期。</w:t>
      </w:r>
    </w:p>
    <w:p w14:paraId="66A8847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9208"/>
      <w:r>
        <w:rPr>
          <w:rFonts w:hint="default"/>
          <w:lang w:val="en-US" w:eastAsia="zh-CN"/>
        </w:rPr>
        <w:t>付款流程</w:t>
      </w:r>
      <w:bookmarkEnd w:id="8"/>
    </w:p>
    <w:p w14:paraId="52E9C08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严格执行合同约定的里程碑付款节点（30%-</w:t>
      </w:r>
      <w:r>
        <w:rPr>
          <w:rFonts w:hint="eastAsia"/>
          <w:lang w:val="en-US" w:eastAsia="zh-CN"/>
        </w:rPr>
        <w:t>5</w:t>
      </w:r>
      <w:r>
        <w:rPr>
          <w:rFonts w:hint="default"/>
          <w:lang w:val="en-US" w:eastAsia="zh-CN"/>
        </w:rPr>
        <w:t>0%-</w:t>
      </w:r>
      <w:r>
        <w:rPr>
          <w:rFonts w:hint="eastAsia"/>
          <w:lang w:val="en-US" w:eastAsia="zh-CN"/>
        </w:rPr>
        <w:t>2</w:t>
      </w:r>
      <w:r>
        <w:rPr>
          <w:rFonts w:hint="default"/>
          <w:lang w:val="en-US" w:eastAsia="zh-CN"/>
        </w:rPr>
        <w:t>0%）。每一笔支付申请必须由乙方项目经理发起，并附带经甲方项目经理书面确认的里程碑完成证明（如到货签收单、试运行通过报告、最终验收报告、符合要求的质保函）。</w:t>
      </w:r>
    </w:p>
    <w:p w14:paraId="48B6192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变更管理流程： 任何超出合同附件清单范围的交付内容或功能需求调整，必须由甲方项目组书面提出并经双方协商一致，签署《项目变更确认单》后，乙方方可实施。严禁任何形式的口头变更。</w:t>
      </w:r>
    </w:p>
    <w:p w14:paraId="26E7B8A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4524"/>
      <w:r>
        <w:rPr>
          <w:rFonts w:hint="default"/>
          <w:lang w:val="en-US" w:eastAsia="zh-CN"/>
        </w:rPr>
        <w:t>运维服务流程</w:t>
      </w:r>
      <w:bookmarkEnd w:id="9"/>
    </w:p>
    <w:p w14:paraId="7906E56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项目上线后，乙方的运维服务需严格遵守合同SLA（如：10分钟内响应，2小时内解决）。双方将使用统一的《运维服务单》模板来记录和跟踪所有服务请求，确保过程闭环、全程可追溯。</w:t>
      </w:r>
    </w:p>
    <w:p w14:paraId="1A1D8A6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5938"/>
      <w:r>
        <w:rPr>
          <w:rFonts w:hint="default"/>
          <w:lang w:val="en-US" w:eastAsia="zh-CN"/>
        </w:rPr>
        <w:t>知识资产管理流程</w:t>
      </w:r>
      <w:bookmarkEnd w:id="10"/>
    </w:p>
    <w:p w14:paraId="70E98BE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乙方在项目各阶段交付的技术文档、操作手册、培训教材等，均需提交至甲方项目经理统一归档。对于合同约定的知识产权交付物，乙方需在最终验收前提供最终版交付物清单。</w:t>
      </w:r>
    </w:p>
    <w:p w14:paraId="3EE673F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1564"/>
      <w:r>
        <w:rPr>
          <w:rFonts w:hint="default"/>
          <w:lang w:val="en-US" w:eastAsia="zh-CN"/>
        </w:rPr>
        <w:t>角色与职责明确</w:t>
      </w:r>
      <w:bookmarkEnd w:id="11"/>
    </w:p>
    <w:p w14:paraId="0C55633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甲方项目经理：为甲方唯一对接接口人，负责整体协调、确认所有项目里程碑、审核付款申请、批准变更请求。</w:t>
      </w:r>
    </w:p>
    <w:p w14:paraId="593889D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甲方质量/运维代表：负责参与技术验收、评估试运行效果、接收并确认运维服务。</w:t>
      </w:r>
    </w:p>
    <w:p w14:paraId="19F6026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乙方项目经理：对项目交付成果负总责，负责提交交付物、发起变更与付款申请、定期汇报项目进度。</w:t>
      </w:r>
    </w:p>
    <w:p w14:paraId="6FFB1020">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78"/>
      <w:r>
        <w:rPr>
          <w:rFonts w:hint="default"/>
          <w:lang w:val="en-US" w:eastAsia="zh-CN"/>
        </w:rPr>
        <w:t>会议决议</w:t>
      </w:r>
      <w:bookmarkEnd w:id="12"/>
    </w:p>
    <w:p w14:paraId="1290AA9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本次会议审议通过的过程框架，将作为本项目管理的基准，双方项目团队成员须共同遵守。</w:t>
      </w:r>
    </w:p>
    <w:p w14:paraId="7FBFF9D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乙方项目组须在202</w:t>
      </w:r>
      <w:r>
        <w:rPr>
          <w:rFonts w:hint="eastAsia"/>
          <w:lang w:val="en-US" w:eastAsia="zh-CN"/>
        </w:rPr>
        <w:t>5</w:t>
      </w:r>
      <w:r>
        <w:rPr>
          <w:rFonts w:hint="default"/>
          <w:lang w:val="en-US" w:eastAsia="zh-CN"/>
        </w:rPr>
        <w:t>年</w:t>
      </w:r>
      <w:r>
        <w:rPr>
          <w:rFonts w:hint="eastAsia"/>
          <w:lang w:val="en-US" w:eastAsia="zh-CN"/>
        </w:rPr>
        <w:t>2</w:t>
      </w:r>
      <w:r>
        <w:rPr>
          <w:rFonts w:hint="default"/>
          <w:lang w:val="en-US" w:eastAsia="zh-CN"/>
        </w:rPr>
        <w:t>月</w:t>
      </w:r>
      <w:r>
        <w:rPr>
          <w:rFonts w:hint="eastAsia"/>
          <w:lang w:val="en-US" w:eastAsia="zh-CN"/>
        </w:rPr>
        <w:t>27</w:t>
      </w:r>
      <w:r>
        <w:rPr>
          <w:rFonts w:hint="default"/>
          <w:lang w:val="en-US" w:eastAsia="zh-CN"/>
        </w:rPr>
        <w:t>日前（</w:t>
      </w:r>
      <w:r>
        <w:rPr>
          <w:rFonts w:hint="eastAsia"/>
          <w:lang w:val="en-US" w:eastAsia="zh-CN"/>
        </w:rPr>
        <w:t>5</w:t>
      </w:r>
      <w:r>
        <w:rPr>
          <w:rFonts w:hint="default"/>
          <w:lang w:val="en-US" w:eastAsia="zh-CN"/>
        </w:rPr>
        <w:t>个工作日内），根据本会议共识，向甲方提交详细的《项目验收方案》与《运维服务响应计划》草案，供甲方审核。</w:t>
      </w:r>
    </w:p>
    <w:p w14:paraId="1620979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双方在项目期间所有重要沟通、决策与确认，均需通过正式邮件或书面文件留存，以确保信息一致、有据可查。</w:t>
      </w:r>
    </w:p>
    <w:p w14:paraId="58A857F3">
      <w:pPr>
        <w:pStyle w:val="28"/>
        <w:bidi w:val="0"/>
        <w:rPr>
          <w:rFonts w:hint="default"/>
          <w:lang w:val="en-US" w:eastAsia="zh-CN"/>
        </w:rPr>
      </w:pPr>
      <w:bookmarkStart w:id="13" w:name="_Toc28070"/>
      <w:r>
        <w:rPr>
          <w:rFonts w:hint="default"/>
          <w:lang w:val="en-US" w:eastAsia="zh-CN"/>
        </w:rPr>
        <w:t>下一步行动</w:t>
      </w:r>
      <w:bookmarkEnd w:id="13"/>
    </w:p>
    <w:p w14:paraId="5755DB2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双方项目经理负责将本会议纪要及确定的过程框架传达给各自项目团队全体成员。</w:t>
      </w:r>
    </w:p>
    <w:p w14:paraId="38070DC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按决议要求跟进相关文档的提交与审核，为下一次项目进度会议做准备。</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0106A">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9C54AE2"/>
    <w:rsid w:val="0F3B5253"/>
    <w:rsid w:val="11835FB7"/>
    <w:rsid w:val="143804B8"/>
    <w:rsid w:val="19483C4A"/>
    <w:rsid w:val="1AEB3784"/>
    <w:rsid w:val="1FB45B95"/>
    <w:rsid w:val="21A939B1"/>
    <w:rsid w:val="307F7AFA"/>
    <w:rsid w:val="3207249C"/>
    <w:rsid w:val="38A02D03"/>
    <w:rsid w:val="3E811777"/>
    <w:rsid w:val="45A32084"/>
    <w:rsid w:val="470E352E"/>
    <w:rsid w:val="60CE7B5E"/>
    <w:rsid w:val="637349EC"/>
    <w:rsid w:val="6E056B89"/>
    <w:rsid w:val="72120C5B"/>
    <w:rsid w:val="7DB51F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link w:val="43"/>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正文_无缩进 Char"/>
    <w:link w:val="40"/>
    <w:qFormat/>
    <w:uiPriority w:val="0"/>
    <w:rPr>
      <w:rFonts w:ascii="Arial" w:hAnsi="Arial"/>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1478</Words>
  <Characters>1587</Characters>
  <Lines>0</Lines>
  <Paragraphs>0</Paragraphs>
  <TotalTime>0</TotalTime>
  <ScaleCrop>false</ScaleCrop>
  <LinksUpToDate>false</LinksUpToDate>
  <CharactersWithSpaces>1640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2026-01-11T16:23:06Z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