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9F65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14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3609769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227"/>
      <w:r>
        <w:rPr>
          <w:rFonts w:hint="eastAsia"/>
          <w:lang w:val="en-US" w:eastAsia="zh-CN"/>
        </w:rPr>
        <w:t>安徽益联-丰盈云人力资源服务业财一体化管理系统-信息安全管理报告</w:t>
      </w:r>
      <w:bookmarkEnd w:id="1"/>
    </w:p>
    <w:p w14:paraId="5B52361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E2DE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8176D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20CD8F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78A3E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08C27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EED29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200BAA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24984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13405F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2DF7DB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335653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33C0E5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5D7BD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66416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B034C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0D8713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34405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D9AC2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27E651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3EA7B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9438E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0F2A55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0CBD0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8A5F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DEAAA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B01AA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7BF40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3F922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79A9E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1774E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C8DA6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8ECBD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B9E13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97C4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1C13B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2DFC6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809C00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49B958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4788F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_Toc6149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07D0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安徽益联-丰盈云人力资源服务业财一体化管理系统-信息安全管理报告</w:t>
          </w:r>
          <w:r>
            <w:tab/>
          </w:r>
          <w:r>
            <w:fldChar w:fldCharType="begin"/>
          </w:r>
          <w:r>
            <w:instrText xml:space="preserve"> PAGEREF _Toc15227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62A9B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执行情况概述</w:t>
          </w:r>
          <w:r>
            <w:tab/>
          </w:r>
          <w:r>
            <w:fldChar w:fldCharType="begin"/>
          </w:r>
          <w:r>
            <w:instrText xml:space="preserve"> PAGEREF _Toc24547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FC34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主要安全管理活动完成情况</w:t>
          </w:r>
          <w:r>
            <w:tab/>
          </w:r>
          <w:r>
            <w:fldChar w:fldCharType="begin"/>
          </w:r>
          <w:r>
            <w:instrText xml:space="preserve"> PAGEREF _Toc30910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A1AC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安全事件统计与分析</w:t>
          </w:r>
          <w:r>
            <w:tab/>
          </w:r>
          <w:r>
            <w:fldChar w:fldCharType="begin"/>
          </w:r>
          <w:r>
            <w:instrText xml:space="preserve"> PAGEREF _Toc17573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F9658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合规性与审计发现</w:t>
          </w:r>
          <w:r>
            <w:tab/>
          </w:r>
          <w:r>
            <w:fldChar w:fldCharType="begin"/>
          </w:r>
          <w:r>
            <w:instrText xml:space="preserve"> PAGEREF _Toc25463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283E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资源投入与合同符合性</w:t>
          </w:r>
          <w:r>
            <w:tab/>
          </w:r>
          <w:r>
            <w:fldChar w:fldCharType="begin"/>
          </w:r>
          <w:r>
            <w:instrText xml:space="preserve"> PAGEREF _Toc28063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3DD9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主要问题、风险与改进计划</w:t>
          </w:r>
          <w:r>
            <w:tab/>
          </w:r>
          <w:r>
            <w:fldChar w:fldCharType="begin"/>
          </w:r>
          <w:r>
            <w:instrText xml:space="preserve"> PAGEREF _Toc4285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C1E5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结论与建议</w:t>
          </w:r>
          <w:r>
            <w:tab/>
          </w:r>
          <w:r>
            <w:fldChar w:fldCharType="begin"/>
          </w:r>
          <w:r>
            <w:instrText xml:space="preserve"> PAGEREF _Toc16980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3B861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5887D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A655555">
      <w:pPr>
        <w:pStyle w:val="28"/>
        <w:bidi w:val="0"/>
        <w:rPr>
          <w:rFonts w:hint="default"/>
          <w:lang w:val="en-US" w:eastAsia="zh-CN"/>
        </w:rPr>
      </w:pPr>
      <w:bookmarkStart w:id="2" w:name="_Toc24547"/>
      <w:r>
        <w:rPr>
          <w:rFonts w:hint="default"/>
          <w:lang w:val="en-US" w:eastAsia="zh-CN"/>
        </w:rPr>
        <w:t>执行情况概述</w:t>
      </w:r>
      <w:bookmarkEnd w:id="2"/>
    </w:p>
    <w:p w14:paraId="5D8328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自《信息安全管理计划</w:t>
      </w:r>
      <w:bookmarkStart w:id="9" w:name="_GoBack"/>
      <w:bookmarkEnd w:id="9"/>
      <w:r>
        <w:rPr>
          <w:rFonts w:hint="default"/>
          <w:lang w:val="en-US" w:eastAsia="zh-CN"/>
        </w:rPr>
        <w:t>》发布以来，公司信息安全领导小组及项目实施团队围绕计划目标，系统性地开展了一系列管理活动与技术控制措施。本报告期内，项目整体信息安全状况平稳可控，未发生重大信息泄露、系统瘫痪等安全事件，各项安全控制措施得到基本落实，基本满足了合同SLA及法律法规的合规性要求。本报告旨在系统梳理期内工作成果，分析存在问题，并规划下一阶段改进方向。</w:t>
      </w:r>
    </w:p>
    <w:p w14:paraId="1FECAA66">
      <w:pPr>
        <w:pStyle w:val="28"/>
        <w:bidi w:val="0"/>
        <w:rPr>
          <w:rFonts w:hint="default"/>
          <w:lang w:val="en-US" w:eastAsia="zh-CN"/>
        </w:rPr>
      </w:pPr>
      <w:bookmarkStart w:id="3" w:name="_Toc30910"/>
      <w:r>
        <w:rPr>
          <w:rFonts w:hint="default"/>
          <w:lang w:val="en-US" w:eastAsia="zh-CN"/>
        </w:rPr>
        <w:t>主要安全管理活动完成情况</w:t>
      </w:r>
      <w:bookmarkEnd w:id="3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3"/>
        <w:gridCol w:w="1942"/>
        <w:gridCol w:w="4932"/>
        <w:gridCol w:w="621"/>
      </w:tblGrid>
      <w:tr w14:paraId="7A11E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81906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管理领域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60EDF4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DC0B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执行情况总结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3CC16A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79C6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EA6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1.组织与培训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FDBB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成立领导小组；</w:t>
            </w:r>
          </w:p>
          <w:p w14:paraId="507557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全员安全培训与签署保密协议。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F6C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领导小组已成立并召开季度安全会议1次。项目团队（共9人）100%完成年度信息安全意识培训并签署保密协议。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7B3A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057B3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E643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2.系统与运维安全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4285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定期漏洞扫描与修复；强化访问控制；落实安全监控与日志审计。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010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共进行4次月度漏洞扫描，发现中危漏洞2个，均已修复。核心后台管理账户已启用双因素认证。SIEM系统运行正常，产生有效告警15条，均已人工核查处置。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BCF7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3A702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EE63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3.数据安全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37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敏感数据加密；</w:t>
            </w:r>
          </w:p>
          <w:p w14:paraId="12E18D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定期备份与恢复测试。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56B9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数据库敏感字段已实施加密存储。按计划完成4次全量备份与12次增量备份，并于11月成功进行一次恢复演练。测试环境数据已完全脱敏。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86CA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55384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1C7B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4.应急响应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A8B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建立流程，定期演练。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8E8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更新了《项目专项应急预案》。10月份组织了一次针对“疑似数据泄露”的桌面推演，响应流程顺畅，演练报告已归档。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E08C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  <w:tr w14:paraId="3EAE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B19E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5.合规与审计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4C97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进行合规检查与内部审计。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044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于9月完成一次针对《个人信息保护法》合规性的专项检查，未发现高风险不合规项。11月由质量效能部完成信息安全内部审计，共发现3项观察项，已制定整改计划。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0081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完成</w:t>
            </w:r>
          </w:p>
        </w:tc>
      </w:tr>
    </w:tbl>
    <w:p w14:paraId="054A30F3">
      <w:pPr>
        <w:pStyle w:val="28"/>
        <w:bidi w:val="0"/>
        <w:rPr>
          <w:rFonts w:hint="default"/>
          <w:lang w:val="en-US" w:eastAsia="zh-CN"/>
        </w:rPr>
      </w:pPr>
      <w:bookmarkStart w:id="4" w:name="_Toc17573"/>
      <w:r>
        <w:rPr>
          <w:rFonts w:hint="default"/>
          <w:lang w:val="en-US" w:eastAsia="zh-CN"/>
        </w:rPr>
        <w:t>安全事件统计与分析</w:t>
      </w:r>
      <w:bookmarkEnd w:id="4"/>
    </w:p>
    <w:p w14:paraId="3E9ADE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事件总数：本报告期内，共记录与信息安全相关的低风险事件8起。</w:t>
      </w:r>
    </w:p>
    <w:p w14:paraId="76C824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事件分类：</w:t>
      </w:r>
    </w:p>
    <w:p w14:paraId="0E1E14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暴力破解攻击告警：5起（均由网络防护设备自动拦截）。</w:t>
      </w:r>
    </w:p>
    <w:p w14:paraId="440FB0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异常登录尝试（异地/非常用设备）：2起（经核实为授权员工正常登录）。</w:t>
      </w:r>
    </w:p>
    <w:p w14:paraId="3A7BAC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误操作导致数据查询错误：1起（经服务台及时纠正，未造成数据泄露或损失）。</w:t>
      </w:r>
    </w:p>
    <w:p w14:paraId="1D53B0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事件处理：所有事件均在2小时内完成初步响应与判断，未有任何事件升级为需要通知甲方的重大安全事件。事件平均解决时间为4小时，优于合同约定的48小时故障排除目标。</w:t>
      </w:r>
    </w:p>
    <w:p w14:paraId="455970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根本原因分析（RCA）：针对典型的攻击告警，进行了源头IP分析和威胁情报比对，未发现针对性的高级持续威胁（APT）。</w:t>
      </w:r>
    </w:p>
    <w:p w14:paraId="0B6EB327">
      <w:pPr>
        <w:pStyle w:val="28"/>
        <w:bidi w:val="0"/>
        <w:rPr>
          <w:rFonts w:hint="default"/>
          <w:lang w:val="en-US" w:eastAsia="zh-CN"/>
        </w:rPr>
      </w:pPr>
      <w:bookmarkStart w:id="5" w:name="_Toc25463"/>
      <w:r>
        <w:rPr>
          <w:rFonts w:hint="default"/>
          <w:lang w:val="en-US" w:eastAsia="zh-CN"/>
        </w:rPr>
        <w:t>合规性与审计发现</w:t>
      </w:r>
      <w:bookmarkEnd w:id="5"/>
    </w:p>
    <w:p w14:paraId="4AB85A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合规性检查：专项检查确认，系统在个人信息收集、存储、使用环节均有明确告知并获得授权，基本符合《个人信息保护法》要求。在数据跨境传输方面，本项目不涉及。</w:t>
      </w:r>
    </w:p>
    <w:p w14:paraId="4BB4B2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内部审计发现：</w:t>
      </w:r>
    </w:p>
    <w:p w14:paraId="1B2610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观察项1：部分运维操作日志记录字段不够完整，影响深度溯源。</w:t>
      </w:r>
    </w:p>
    <w:p w14:paraId="2A0022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观察项2：个别第三方组件（开源库）版本略旧，存在潜在低危漏洞。</w:t>
      </w:r>
    </w:p>
    <w:p w14:paraId="3B3B85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观察项3：安全培训内容可针对最新社会工程学攻击案例进行更新。</w:t>
      </w:r>
    </w:p>
    <w:p w14:paraId="32665C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整改状态：以上观察项已制定整改计划，责任人均为运维管理部与人力资源部，计划在2026年Q1前完成。</w:t>
      </w:r>
    </w:p>
    <w:p w14:paraId="2DD5743D">
      <w:pPr>
        <w:pStyle w:val="28"/>
        <w:bidi w:val="0"/>
        <w:rPr>
          <w:rFonts w:hint="default"/>
          <w:lang w:val="en-US" w:eastAsia="zh-CN"/>
        </w:rPr>
      </w:pPr>
      <w:bookmarkStart w:id="6" w:name="_Toc28063"/>
      <w:r>
        <w:rPr>
          <w:rFonts w:hint="default"/>
          <w:lang w:val="en-US" w:eastAsia="zh-CN"/>
        </w:rPr>
        <w:t>资源投入与合同符合性</w:t>
      </w:r>
      <w:bookmarkEnd w:id="6"/>
    </w:p>
    <w:p w14:paraId="696FD0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团队稳定性：本期项目团队核心成员无变更，符合合同</w:t>
      </w:r>
      <w:r>
        <w:rPr>
          <w:rFonts w:hint="eastAsia"/>
          <w:lang w:val="en-US" w:eastAsia="zh-CN"/>
        </w:rPr>
        <w:t>条款</w:t>
      </w:r>
      <w:r>
        <w:rPr>
          <w:rFonts w:hint="default"/>
          <w:lang w:val="en-US" w:eastAsia="zh-CN"/>
        </w:rPr>
        <w:t>“人员稳定性要求”。</w:t>
      </w:r>
    </w:p>
    <w:p w14:paraId="0B2D79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服务交付：7x24小时服务台与运维支持体系运行正常，所有服务请求均得到及时响应，SLA达成率为100%，满足合同基本服务要求。</w:t>
      </w:r>
    </w:p>
    <w:p w14:paraId="2B4409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信创适配：根据合同</w:t>
      </w:r>
      <w:r>
        <w:rPr>
          <w:rFonts w:hint="eastAsia"/>
          <w:lang w:val="en-US" w:eastAsia="zh-CN"/>
        </w:rPr>
        <w:t>条款</w:t>
      </w:r>
      <w:r>
        <w:rPr>
          <w:rFonts w:hint="default"/>
          <w:lang w:val="en-US" w:eastAsia="zh-CN"/>
        </w:rPr>
        <w:t>，本期甲方未提出新的国产化适配要求。我方已保持对主流信创生态的技术跟踪与预研。</w:t>
      </w:r>
    </w:p>
    <w:p w14:paraId="2D642795">
      <w:pPr>
        <w:pStyle w:val="28"/>
        <w:bidi w:val="0"/>
        <w:rPr>
          <w:rFonts w:hint="default"/>
          <w:lang w:val="en-US" w:eastAsia="zh-CN"/>
        </w:rPr>
      </w:pPr>
      <w:bookmarkStart w:id="7" w:name="_Toc4285"/>
      <w:r>
        <w:rPr>
          <w:rFonts w:hint="default"/>
          <w:lang w:val="en-US" w:eastAsia="zh-CN"/>
        </w:rPr>
        <w:t>主要问题、风险与改进计划</w:t>
      </w:r>
      <w:bookmarkEnd w:id="7"/>
    </w:p>
    <w:p w14:paraId="1F585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52"/>
        <w:gridCol w:w="1886"/>
        <w:gridCol w:w="3007"/>
        <w:gridCol w:w="818"/>
        <w:gridCol w:w="895"/>
      </w:tblGrid>
      <w:tr w14:paraId="76BE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B4CB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C65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问题/风险描述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079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影响分析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F0C9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改进措施/下一步计划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569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责任部门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1A3E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预计完成时间</w:t>
            </w:r>
          </w:p>
        </w:tc>
      </w:tr>
      <w:tr w14:paraId="06EC5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4B2D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FA2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安全日志深度分析能力不足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D12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难以主动发现隐蔽的威胁和内部风险。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48FC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调研并引入日志智能分析（UEBA）功能模块。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0BB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81B4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2026年Q2</w:t>
            </w:r>
          </w:p>
        </w:tc>
      </w:tr>
      <w:tr w14:paraId="26B9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F3F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DA0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第三方组件供应链安全管理待加强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C06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旧版本组件可能引入未知漏洞。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F811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建立软件物料清单（SBOM），制定第三方组件定期更新与评估流程。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367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7B57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2026年Q1</w:t>
            </w:r>
          </w:p>
        </w:tc>
      </w:tr>
      <w:tr w14:paraId="0C6E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E76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3F0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安全意识培训内容需与时俱进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A85A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员工对新型钓鱼、欺诈手段防范意识待提升。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75C6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更新2026年度安全培训材料，增加实战化演练内容。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A1D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人力资源部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84F8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2026年Q1</w:t>
            </w:r>
          </w:p>
        </w:tc>
      </w:tr>
    </w:tbl>
    <w:p w14:paraId="703B1BA0">
      <w:pPr>
        <w:pStyle w:val="28"/>
        <w:bidi w:val="0"/>
        <w:rPr>
          <w:rFonts w:hint="default"/>
          <w:lang w:val="en-US" w:eastAsia="zh-CN"/>
        </w:rPr>
      </w:pPr>
      <w:bookmarkStart w:id="8" w:name="_Toc16980"/>
      <w:r>
        <w:rPr>
          <w:rFonts w:hint="default"/>
          <w:lang w:val="en-US" w:eastAsia="zh-CN"/>
        </w:rPr>
        <w:t>结论与建议</w:t>
      </w:r>
      <w:bookmarkEnd w:id="8"/>
    </w:p>
    <w:p w14:paraId="6DDC73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截至2025年11月30日，“丰盈云人力资源服务业财一体化管理系统”项目的信息安全管理体系运行有效，关键控制措施落实到位，保障了系统与数据的保密性、完整性和可用性，并满足了当前阶段的合规要求。</w:t>
      </w:r>
    </w:p>
    <w:p w14:paraId="0E7F2E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建议：</w:t>
      </w:r>
    </w:p>
    <w:p w14:paraId="57204E3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管理层继续支持在安全技术工具（如日志分析）上的必要投入。</w:t>
      </w:r>
    </w:p>
    <w:p w14:paraId="43DA78D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将第三方组件安全管理和安全意识常态化演练纳入2026年度信息安全重点工作。</w:t>
      </w:r>
    </w:p>
    <w:p w14:paraId="7B71526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本报告应提交甲方备案，作为项目服务质量与安全承诺的履行证明之一。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6F64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7C2EAB1"/>
    <w:multiLevelType w:val="singleLevel"/>
    <w:tmpl w:val="77C2EA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B34E22"/>
    <w:rsid w:val="025D08EA"/>
    <w:rsid w:val="03CF75C5"/>
    <w:rsid w:val="03D472D2"/>
    <w:rsid w:val="05B60A3D"/>
    <w:rsid w:val="06055520"/>
    <w:rsid w:val="065E2EE9"/>
    <w:rsid w:val="0C915D60"/>
    <w:rsid w:val="128A116D"/>
    <w:rsid w:val="12FC5EFD"/>
    <w:rsid w:val="18441ED8"/>
    <w:rsid w:val="1DD45AAC"/>
    <w:rsid w:val="249064A5"/>
    <w:rsid w:val="29600B3C"/>
    <w:rsid w:val="2AB139E8"/>
    <w:rsid w:val="2E8B6854"/>
    <w:rsid w:val="30B67293"/>
    <w:rsid w:val="3C3A6FCB"/>
    <w:rsid w:val="3F676329"/>
    <w:rsid w:val="42F208AA"/>
    <w:rsid w:val="463902F3"/>
    <w:rsid w:val="479639C6"/>
    <w:rsid w:val="4A730277"/>
    <w:rsid w:val="4BA601D9"/>
    <w:rsid w:val="4D4E0723"/>
    <w:rsid w:val="4E061402"/>
    <w:rsid w:val="51145BE4"/>
    <w:rsid w:val="527821A3"/>
    <w:rsid w:val="5C6E6AF1"/>
    <w:rsid w:val="61B551C2"/>
    <w:rsid w:val="67695C49"/>
    <w:rsid w:val="6B660F70"/>
    <w:rsid w:val="6D2D3E5E"/>
    <w:rsid w:val="6EFF7A7C"/>
    <w:rsid w:val="78C07300"/>
    <w:rsid w:val="796C56AF"/>
    <w:rsid w:val="7EDC7492"/>
    <w:rsid w:val="7F89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1436</Words>
  <Characters>1576</Characters>
  <Lines>0</Lines>
  <Paragraphs>0</Paragraphs>
  <TotalTime>0</TotalTime>
  <ScaleCrop>false</ScaleCrop>
  <LinksUpToDate>false</LinksUpToDate>
  <CharactersWithSpaces>1632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2026-01-11T17:56:48Z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