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64377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64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C44A21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305"/>
      <w:r>
        <w:rPr>
          <w:rFonts w:hint="eastAsia"/>
          <w:lang w:val="en-US" w:eastAsia="zh-CN"/>
        </w:rPr>
        <w:t>过程框架</w:t>
      </w:r>
      <w:bookmarkEnd w:id="1"/>
      <w:r>
        <w:rPr>
          <w:rFonts w:hint="eastAsia"/>
          <w:lang w:val="en-US" w:eastAsia="zh-CN"/>
        </w:rPr>
        <w:t>需求分析报告</w:t>
      </w:r>
    </w:p>
    <w:p w14:paraId="23EA0A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7597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ED36F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1869C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D21E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F0C28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9D68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23B8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0CD71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04FCED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74BDB0F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EDA0BF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BDFA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7277C8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C1C90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A9C4F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18C44E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E925C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9D9F0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707DAE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05BC2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C92A6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68BDEA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82CD5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D0C7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69D986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8B702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44CC8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BC37B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5BC1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E5DD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B718AF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DB606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BA44B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5C199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4DCA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D4658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89B50D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9AABA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6D11F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_Toc16647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212A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过程框架管理制度</w:t>
          </w:r>
          <w:r>
            <w:tab/>
          </w:r>
          <w:r>
            <w:fldChar w:fldCharType="begin"/>
          </w:r>
          <w:r>
            <w:instrText xml:space="preserve"> PAGEREF _Toc21305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1A69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BA0E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_Toc25343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D1A4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5713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221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53A6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运维管理部</w:t>
          </w:r>
          <w:r>
            <w:tab/>
          </w:r>
          <w:r>
            <w:fldChar w:fldCharType="begin"/>
          </w:r>
          <w:r>
            <w:instrText xml:space="preserve"> PAGEREF _Toc576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CB67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质量效能部</w:t>
          </w:r>
          <w:r>
            <w:tab/>
          </w:r>
          <w:r>
            <w:fldChar w:fldCharType="begin"/>
          </w:r>
          <w:r>
            <w:instrText xml:space="preserve"> PAGEREF _Toc20446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596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eastAsia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_Toc18385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CE7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_Toc14018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46F8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_Toc14848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502B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_Toc708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C119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过程框架</w:t>
          </w:r>
          <w:r>
            <w:tab/>
          </w:r>
          <w:r>
            <w:fldChar w:fldCharType="begin"/>
          </w:r>
          <w:r>
            <w:instrText xml:space="preserve"> PAGEREF _Toc10480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182B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过程资产库</w:t>
          </w:r>
          <w:r>
            <w:tab/>
          </w:r>
          <w:r>
            <w:fldChar w:fldCharType="begin"/>
          </w:r>
          <w:r>
            <w:instrText xml:space="preserve"> PAGEREF _Toc3380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D3A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过程KPI（关键绩效指标）</w:t>
          </w:r>
          <w:r>
            <w:tab/>
          </w:r>
          <w:r>
            <w:fldChar w:fldCharType="begin"/>
          </w:r>
          <w:r>
            <w:instrText xml:space="preserve"> PAGEREF _Toc4993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40A8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287D0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过程框架的构成</w:t>
          </w:r>
          <w:r>
            <w:tab/>
          </w:r>
          <w:r>
            <w:fldChar w:fldCharType="begin"/>
          </w:r>
          <w:r>
            <w:instrText xml:space="preserve"> PAGEREF _Toc10842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8B9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4.1.1. </w:t>
          </w:r>
          <w:r>
            <w:rPr>
              <w:rFonts w:hint="eastAsia"/>
            </w:rPr>
            <w:t>战略与治理过程</w:t>
          </w:r>
          <w:r>
            <w:tab/>
          </w:r>
          <w:r>
            <w:fldChar w:fldCharType="begin"/>
          </w:r>
          <w:r>
            <w:instrText xml:space="preserve"> PAGEREF _Toc16383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2B1EF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4.1.2. </w:t>
          </w:r>
          <w:r>
            <w:rPr>
              <w:rFonts w:hint="eastAsia"/>
            </w:rPr>
            <w:t>核心交付与运营过程</w:t>
          </w:r>
          <w:r>
            <w:tab/>
          </w:r>
          <w:r>
            <w:fldChar w:fldCharType="begin"/>
          </w:r>
          <w:r>
            <w:instrText xml:space="preserve"> PAGEREF _Toc21569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1A308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4.1.3. </w:t>
          </w:r>
          <w:r>
            <w:rPr>
              <w:rFonts w:hint="eastAsia"/>
            </w:rPr>
            <w:t>支持保障过程</w:t>
          </w:r>
          <w:r>
            <w:tab/>
          </w:r>
          <w:r>
            <w:fldChar w:fldCharType="begin"/>
          </w:r>
          <w:r>
            <w:instrText xml:space="preserve"> PAGEREF _Toc14490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81C2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4.1.4. </w:t>
          </w:r>
          <w:r>
            <w:rPr>
              <w:rFonts w:hint="eastAsia"/>
            </w:rPr>
            <w:t>测量与改进过程</w:t>
          </w:r>
          <w:r>
            <w:tab/>
          </w:r>
          <w:r>
            <w:fldChar w:fldCharType="begin"/>
          </w:r>
          <w:r>
            <w:instrText xml:space="preserve"> PAGEREF _Toc1571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ADF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过程间关系与接口管理</w:t>
          </w:r>
          <w:r>
            <w:tab/>
          </w:r>
          <w:r>
            <w:fldChar w:fldCharType="begin"/>
          </w:r>
          <w:r>
            <w:instrText xml:space="preserve"> PAGEREF _Toc21502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2704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4.2.1. </w:t>
          </w:r>
          <w:r>
            <w:rPr>
              <w:rFonts w:hint="eastAsia"/>
            </w:rPr>
            <w:t>过程交互机制</w:t>
          </w:r>
          <w:r>
            <w:tab/>
          </w:r>
          <w:r>
            <w:fldChar w:fldCharType="begin"/>
          </w:r>
          <w:r>
            <w:instrText xml:space="preserve"> PAGEREF _Toc5246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2CBE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4.2.2. </w:t>
          </w:r>
          <w:r>
            <w:rPr>
              <w:rFonts w:hint="eastAsia"/>
            </w:rPr>
            <w:t>跨部门协作机制</w:t>
          </w:r>
          <w:r>
            <w:tab/>
          </w:r>
          <w:r>
            <w:fldChar w:fldCharType="begin"/>
          </w:r>
          <w:r>
            <w:instrText xml:space="preserve"> PAGEREF _Toc11382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BD2D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过程的建立与变更</w:t>
          </w:r>
          <w:r>
            <w:tab/>
          </w:r>
          <w:r>
            <w:fldChar w:fldCharType="begin"/>
          </w:r>
          <w:r>
            <w:instrText xml:space="preserve"> PAGEREF _Toc4371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C54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4.3.1. </w:t>
          </w:r>
          <w:r>
            <w:rPr>
              <w:rFonts w:hint="eastAsia"/>
            </w:rPr>
            <w:t>新过程建立流程</w:t>
          </w:r>
          <w:r>
            <w:tab/>
          </w:r>
          <w:r>
            <w:fldChar w:fldCharType="begin"/>
          </w:r>
          <w:r>
            <w:instrText xml:space="preserve"> PAGEREF _Toc29408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7F2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4.3.2. </w:t>
          </w:r>
          <w:r>
            <w:rPr>
              <w:rFonts w:hint="eastAsia"/>
            </w:rPr>
            <w:t>过程变更管理</w:t>
          </w:r>
          <w:r>
            <w:tab/>
          </w:r>
          <w:r>
            <w:fldChar w:fldCharType="begin"/>
          </w:r>
          <w:r>
            <w:instrText xml:space="preserve"> PAGEREF _Toc7930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BD1F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过程的评审与改进</w:t>
          </w:r>
          <w:r>
            <w:tab/>
          </w:r>
          <w:r>
            <w:fldChar w:fldCharType="begin"/>
          </w:r>
          <w:r>
            <w:instrText xml:space="preserve"> PAGEREF _Toc25820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3A0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4.4.1. </w:t>
          </w:r>
          <w:r>
            <w:rPr>
              <w:rFonts w:hint="eastAsia"/>
            </w:rPr>
            <w:t>过程执行要求</w:t>
          </w:r>
          <w:r>
            <w:tab/>
          </w:r>
          <w:r>
            <w:fldChar w:fldCharType="begin"/>
          </w:r>
          <w:r>
            <w:instrText xml:space="preserve"> PAGEREF _Toc14485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D96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4.4.2. </w:t>
          </w:r>
          <w:r>
            <w:rPr>
              <w:rFonts w:hint="eastAsia"/>
            </w:rPr>
            <w:t>过程监督机制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CB9F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过程的监控与测量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18FD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204E3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_Toc6095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015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_Toc28779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64BF3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6060EE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4133D2F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0CA172D9">
      <w:pPr>
        <w:pStyle w:val="29"/>
        <w:bidi w:val="0"/>
        <w:rPr>
          <w:rFonts w:hint="eastAsia"/>
          <w:lang w:eastAsia="zh-CN"/>
        </w:rPr>
      </w:pPr>
      <w:r>
        <w:t>为构建系统化的运维服务管理体系，明确各服务过程间的协同与关联关系，指导各过程的规范化建设与持续改进，从而全面提升公司服务管理水平，运维部结合相关部门管理需求，策划并设计了公司运维服务过程框架</w:t>
      </w:r>
      <w:r>
        <w:rPr>
          <w:rFonts w:hint="eastAsia"/>
          <w:lang w:eastAsia="zh-CN"/>
        </w:rPr>
        <w:t>。</w:t>
      </w:r>
    </w:p>
    <w:p w14:paraId="522A5DA6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过程框架设计方案</w:t>
      </w:r>
    </w:p>
    <w:p w14:paraId="024F37DA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过程框架概览</w:t>
      </w:r>
    </w:p>
    <w:p w14:paraId="2507112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公司运维服务过程框架涵盖十大核心服务过程，包括：服务级别管理、服务报告管理、事件管理、问题管理、变更管理、发布管理、配置管理、服务可用性与连续性管理、容量管理、信息安全管理。</w:t>
      </w:r>
    </w:p>
    <w:p w14:paraId="3D45A1A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过程以服务级别管理（SLA）为指导核心，以信息安全管理为保障手段，以配置管理为基础数据支撑，以服务报告管理为交付质量验证方式。过程之间相互关联、协同运作，共同确保服务过程的规范化与可控性，进而推动服务级别协议（SLA）的达成与服务管理水平的持续提升。</w:t>
      </w:r>
    </w:p>
    <w:p w14:paraId="0DF4E5AE">
      <w:pPr>
        <w:pStyle w:val="29"/>
        <w:bidi w:val="0"/>
      </w:pPr>
      <w:r>
        <w:rPr>
          <w:rFonts w:hint="eastAsia"/>
          <w:lang w:val="en-US" w:eastAsia="zh-CN"/>
        </w:rPr>
        <w:t>公司运维服务过程框架设计如下图所示：</w:t>
      </w:r>
      <w:r>
        <w:drawing>
          <wp:inline distT="0" distB="0" distL="114300" distR="114300">
            <wp:extent cx="5270500" cy="383603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8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应用和持续改善相关工作，详细如下：</w:t>
      </w:r>
    </w:p>
    <w:tbl>
      <w:tblPr>
        <w:tblStyle w:val="21"/>
        <w:tblW w:w="86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1752"/>
        <w:gridCol w:w="1884"/>
        <w:gridCol w:w="1944"/>
        <w:gridCol w:w="1949"/>
      </w:tblGrid>
      <w:tr w14:paraId="4DFDE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DC1387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过程名称</w:t>
            </w:r>
          </w:p>
        </w:tc>
        <w:tc>
          <w:tcPr>
            <w:tcW w:w="1752" w:type="dxa"/>
            <w:shd w:val="clear" w:color="auto" w:fill="auto"/>
          </w:tcPr>
          <w:p w14:paraId="794B412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应用场景</w:t>
            </w:r>
          </w:p>
        </w:tc>
        <w:tc>
          <w:tcPr>
            <w:tcW w:w="1884" w:type="dxa"/>
            <w:shd w:val="clear" w:color="auto" w:fill="auto"/>
          </w:tcPr>
          <w:p w14:paraId="6DB853A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关键指标</w:t>
            </w:r>
          </w:p>
        </w:tc>
        <w:tc>
          <w:tcPr>
            <w:tcW w:w="1944" w:type="dxa"/>
            <w:shd w:val="clear" w:color="auto" w:fill="auto"/>
          </w:tcPr>
          <w:p w14:paraId="3F4D7E3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与其他过程的输入</w:t>
            </w:r>
          </w:p>
        </w:tc>
        <w:tc>
          <w:tcPr>
            <w:tcW w:w="1949" w:type="dxa"/>
            <w:shd w:val="clear" w:color="auto" w:fill="auto"/>
          </w:tcPr>
          <w:p w14:paraId="375435D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对其他过程的输出</w:t>
            </w:r>
          </w:p>
        </w:tc>
      </w:tr>
      <w:tr w14:paraId="23C8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F5BE629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服务级别管理</w:t>
            </w:r>
          </w:p>
        </w:tc>
        <w:tc>
          <w:tcPr>
            <w:tcW w:w="1752" w:type="dxa"/>
            <w:shd w:val="clear" w:color="auto" w:fill="auto"/>
          </w:tcPr>
          <w:p w14:paraId="4480224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用于运维服务需求从受理到方案提供、SLA 签订、 SLA 实施与监控的全生命周期管理</w:t>
            </w:r>
          </w:p>
        </w:tc>
        <w:tc>
          <w:tcPr>
            <w:tcW w:w="1884" w:type="dxa"/>
            <w:shd w:val="clear" w:color="auto" w:fill="auto"/>
          </w:tcPr>
          <w:p w14:paraId="09884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SLA 达成率≥9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36CE9A9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计算方式：（满足服务级别事件数/事件总数）*100% 考 核频 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1944" w:type="dxa"/>
            <w:shd w:val="clear" w:color="auto" w:fill="auto"/>
          </w:tcPr>
          <w:p w14:paraId="1117ABE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从可用性和连续性管理、容量管理、事件管理、信息安全管理获得服务级别协议相关信息</w:t>
            </w:r>
          </w:p>
        </w:tc>
        <w:tc>
          <w:tcPr>
            <w:tcW w:w="1949" w:type="dxa"/>
            <w:shd w:val="clear" w:color="auto" w:fill="auto"/>
          </w:tcPr>
          <w:p w14:paraId="39A0772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、向可用性和连续性管理 、 容量管理 、 事件管理、信息安全管理、服务报告管理提供服务级别协议相关信息；</w:t>
            </w:r>
          </w:p>
          <w:p w14:paraId="0AD0CD7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、向变更管理提供服务级别相关变更请求</w:t>
            </w:r>
          </w:p>
        </w:tc>
      </w:tr>
      <w:tr w14:paraId="4653B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0839C3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服务报告管理</w:t>
            </w:r>
          </w:p>
        </w:tc>
        <w:tc>
          <w:tcPr>
            <w:tcW w:w="1752" w:type="dxa"/>
            <w:shd w:val="clear" w:color="auto" w:fill="auto"/>
          </w:tcPr>
          <w:p w14:paraId="28C396F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用于管理运维项目中各类服务报告，包含各类方案、阶段性总结报告、验收汇报等</w:t>
            </w:r>
          </w:p>
        </w:tc>
        <w:tc>
          <w:tcPr>
            <w:tcW w:w="1884" w:type="dxa"/>
            <w:shd w:val="clear" w:color="auto" w:fill="auto"/>
          </w:tcPr>
          <w:p w14:paraId="7FC0A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服务报告</w:t>
            </w:r>
            <w:r>
              <w:rPr>
                <w:rFonts w:hint="eastAsia"/>
                <w:lang w:val="en-US" w:eastAsia="zh-CN"/>
              </w:rPr>
              <w:t>提交</w:t>
            </w:r>
            <w:r>
              <w:rPr>
                <w:rFonts w:hint="default"/>
                <w:lang w:val="en-US" w:eastAsia="zh-CN"/>
              </w:rPr>
              <w:t>及时率 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按时提交的服务报告数量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应</w:t>
            </w:r>
            <w:r>
              <w:rPr>
                <w:rFonts w:hint="default"/>
                <w:lang w:val="en-US" w:eastAsia="zh-CN"/>
              </w:rPr>
              <w:t>提交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服务报告总数</w:t>
            </w:r>
            <w:r>
              <w:rPr>
                <w:rFonts w:hint="eastAsia"/>
                <w:lang w:val="en-US" w:eastAsia="zh-CN"/>
              </w:rPr>
              <w:t>*</w:t>
            </w:r>
            <w:r>
              <w:rPr>
                <w:rFonts w:hint="default"/>
                <w:lang w:val="en-US" w:eastAsia="zh-CN"/>
              </w:rPr>
              <w:t>100%</w:t>
            </w:r>
            <w:r>
              <w:rPr>
                <w:rFonts w:hint="eastAsia"/>
                <w:lang w:val="en-US" w:eastAsia="zh-CN"/>
              </w:rPr>
              <w:t>,频次:季度</w:t>
            </w:r>
          </w:p>
        </w:tc>
        <w:tc>
          <w:tcPr>
            <w:tcW w:w="1944" w:type="dxa"/>
            <w:shd w:val="clear" w:color="auto" w:fill="auto"/>
          </w:tcPr>
          <w:p w14:paraId="2409C88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运维过程中相关报告与记录或其它信息渠道获取</w:t>
            </w:r>
          </w:p>
        </w:tc>
        <w:tc>
          <w:tcPr>
            <w:tcW w:w="1949" w:type="dxa"/>
          </w:tcPr>
          <w:p w14:paraId="2014AD9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</w:p>
        </w:tc>
      </w:tr>
      <w:tr w14:paraId="201C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018BB6E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事件管理</w:t>
            </w:r>
          </w:p>
        </w:tc>
        <w:tc>
          <w:tcPr>
            <w:tcW w:w="1752" w:type="dxa"/>
            <w:shd w:val="clear" w:color="auto" w:fill="auto"/>
          </w:tcPr>
          <w:p w14:paraId="3C80BADB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确保业务系统各类事件能在最短的时间内得到解决，满足公司与客户约定的SLA要求</w:t>
            </w:r>
          </w:p>
        </w:tc>
        <w:tc>
          <w:tcPr>
            <w:tcW w:w="1884" w:type="dxa"/>
            <w:shd w:val="clear" w:color="auto" w:fill="auto"/>
          </w:tcPr>
          <w:p w14:paraId="12A7F93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1.事件响应及时率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50F0A4B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规定时间内响应的事件数/事件总数</w:t>
            </w:r>
            <w:r>
              <w:rPr>
                <w:rFonts w:hint="eastAsia"/>
                <w:lang w:val="en-US" w:eastAsia="zh-CN"/>
              </w:rPr>
              <w:t>*100%，</w:t>
            </w: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  <w:p w14:paraId="103B705C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eastAsia"/>
                <w:lang w:val="en-US" w:eastAsia="zh-CN"/>
              </w:rPr>
              <w:t>按时</w:t>
            </w:r>
            <w:r>
              <w:rPr>
                <w:rFonts w:hint="default"/>
                <w:lang w:val="en-US" w:eastAsia="zh-CN"/>
              </w:rPr>
              <w:t>解决率≥9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08AE8BEC">
            <w:pPr>
              <w:widowControl w:val="0"/>
              <w:bidi w:val="0"/>
              <w:jc w:val="left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规定时间内成功解决的事件数/事件总数</w:t>
            </w:r>
            <w:r>
              <w:rPr>
                <w:rFonts w:hint="default"/>
                <w:lang w:val="en-US" w:eastAsia="zh-CN"/>
              </w:rPr>
              <w:t>*100% 考核频次：</w:t>
            </w: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1944" w:type="dxa"/>
            <w:shd w:val="clear" w:color="auto" w:fill="auto"/>
          </w:tcPr>
          <w:p w14:paraId="14BDA40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、从服务级别管理获得服务级别协议相关信息；</w:t>
            </w:r>
          </w:p>
          <w:p w14:paraId="4D237EF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、从变更管理获得事件 引发变更 的处理 结果；</w:t>
            </w:r>
          </w:p>
          <w:p w14:paraId="01401EE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、从信息安全管理获得信息安全管理相关信息；</w:t>
            </w:r>
          </w:p>
          <w:p w14:paraId="33D83D9D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、从问题管理获得已知问题、已知错误和解决方案的信息；</w:t>
            </w:r>
          </w:p>
          <w:p w14:paraId="0B79B86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5 、从配置管理获得配置项信息；</w:t>
            </w:r>
          </w:p>
        </w:tc>
        <w:tc>
          <w:tcPr>
            <w:tcW w:w="1949" w:type="dxa"/>
            <w:shd w:val="clear" w:color="auto" w:fill="auto"/>
          </w:tcPr>
          <w:p w14:paraId="5BDCCBE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、向发布管理提供待发布信息、操作手册、已知错误信息；</w:t>
            </w:r>
          </w:p>
          <w:p w14:paraId="4D96DB6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、向信息安全管理提供安全性突发事件报告和记录等信息，并触发信息安全管理；</w:t>
            </w:r>
          </w:p>
          <w:p w14:paraId="7494D16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、向变更管理提供变更请求信息 ， 并触发变更管理；</w:t>
            </w:r>
          </w:p>
          <w:p w14:paraId="577B406C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、向问题管理提供重大、重复多次等相关事件信息。</w:t>
            </w:r>
          </w:p>
          <w:p w14:paraId="710053E0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 、向服务报告管理提供事件相关信息</w:t>
            </w:r>
          </w:p>
        </w:tc>
      </w:tr>
      <w:tr w14:paraId="1E2D9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1E636D2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问题管理</w:t>
            </w:r>
          </w:p>
        </w:tc>
        <w:tc>
          <w:tcPr>
            <w:tcW w:w="1752" w:type="dxa"/>
            <w:shd w:val="clear" w:color="auto" w:fill="auto"/>
          </w:tcPr>
          <w:p w14:paraId="0109275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对重复多次发生的事件、具有重大影响范围等事件进行根源调查、处置，避免事件的再次发</w:t>
            </w:r>
          </w:p>
          <w:p w14:paraId="530992A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生，提高系统可用性、连续性和容量</w:t>
            </w:r>
          </w:p>
        </w:tc>
        <w:tc>
          <w:tcPr>
            <w:tcW w:w="1884" w:type="dxa"/>
            <w:shd w:val="clear" w:color="auto" w:fill="auto"/>
          </w:tcPr>
          <w:p w14:paraId="2CCB373C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问题解决率≥</w:t>
            </w:r>
            <w:r>
              <w:rPr>
                <w:rFonts w:hint="eastAsia"/>
                <w:lang w:val="en-US" w:eastAsia="zh-CN"/>
              </w:rPr>
              <w:t>95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630F63B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</w:t>
            </w:r>
            <w:r>
              <w:rPr>
                <w:rFonts w:hint="eastAsia"/>
                <w:lang w:val="en-US" w:eastAsia="zh-CN"/>
              </w:rPr>
              <w:t>实际解决的问题数</w:t>
            </w:r>
            <w:r>
              <w:rPr>
                <w:rFonts w:hint="default"/>
                <w:lang w:val="en-US" w:eastAsia="zh-CN"/>
              </w:rPr>
              <w:t>/问题总数*100%</w:t>
            </w:r>
          </w:p>
          <w:p w14:paraId="2DAE14D4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13AF2B3D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1、从事件管理获得突发事件报告的相关信息；</w:t>
            </w:r>
          </w:p>
          <w:p w14:paraId="76B1D9D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2、从变更管理获得问题 引发变更的处理 结果；</w:t>
            </w:r>
          </w:p>
          <w:p w14:paraId="5324144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3、从发布管理获得已知问题、已知错误和解决方案的相关信息；</w:t>
            </w:r>
          </w:p>
          <w:p w14:paraId="1699058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4、从配置管理获得配置项信息</w:t>
            </w:r>
          </w:p>
        </w:tc>
        <w:tc>
          <w:tcPr>
            <w:tcW w:w="1949" w:type="dxa"/>
            <w:shd w:val="clear" w:color="auto" w:fill="auto"/>
          </w:tcPr>
          <w:p w14:paraId="46D9663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1、向变更管理提交变更请求信息；</w:t>
            </w:r>
          </w:p>
          <w:p w14:paraId="491EE29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2、向事件管理提供已知问题、 已知错误和解决方案的相关信息；</w:t>
            </w:r>
          </w:p>
          <w:p w14:paraId="24360BF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3、向服务报告管理提供问题相关信息</w:t>
            </w:r>
          </w:p>
        </w:tc>
      </w:tr>
      <w:tr w14:paraId="67C2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44CEA85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变更管理</w:t>
            </w:r>
          </w:p>
        </w:tc>
        <w:tc>
          <w:tcPr>
            <w:tcW w:w="1752" w:type="dxa"/>
            <w:shd w:val="clear" w:color="auto" w:fill="auto"/>
          </w:tcPr>
          <w:p w14:paraId="055DC8E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从业务、技术两个角度管理客户业务系统生产环境变更，尽量降低变更对生产环境带来的影响</w:t>
            </w:r>
          </w:p>
        </w:tc>
        <w:tc>
          <w:tcPr>
            <w:tcW w:w="1884" w:type="dxa"/>
            <w:shd w:val="clear" w:color="auto" w:fill="auto"/>
          </w:tcPr>
          <w:p w14:paraId="107B942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变更成功次数</w:t>
            </w:r>
            <w:r>
              <w:rPr>
                <w:rFonts w:hint="default"/>
                <w:lang w:val="en-US" w:eastAsia="zh-CN"/>
              </w:rPr>
              <w:t>/变更总数*100%考核频次：季度</w:t>
            </w:r>
          </w:p>
        </w:tc>
        <w:tc>
          <w:tcPr>
            <w:tcW w:w="1944" w:type="dxa"/>
            <w:shd w:val="clear" w:color="auto" w:fill="auto"/>
          </w:tcPr>
          <w:p w14:paraId="4175DCF7">
            <w:pPr>
              <w:widowControl w:val="0"/>
              <w:bidi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、从可用性和连续性管理获得可用性计划和连续性计划</w:t>
            </w:r>
            <w:r>
              <w:rPr>
                <w:rFonts w:hint="eastAsia"/>
                <w:lang w:val="en-US" w:eastAsia="zh-CN"/>
              </w:rPr>
              <w:t>;</w:t>
            </w:r>
          </w:p>
          <w:p w14:paraId="48722DA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、从配置管理获得变更对业务产生的影响；</w:t>
            </w:r>
          </w:p>
          <w:p w14:paraId="4A39E28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、从服务级别管理、信息安全管理、配置管理、事件管理、问题管理获得各过程的变更请求</w:t>
            </w:r>
          </w:p>
        </w:tc>
        <w:tc>
          <w:tcPr>
            <w:tcW w:w="1949" w:type="dxa"/>
            <w:shd w:val="clear" w:color="auto" w:fill="auto"/>
          </w:tcPr>
          <w:p w14:paraId="18003F8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 w14:paraId="76E46A7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、向发布管理提供变更授权；</w:t>
            </w:r>
          </w:p>
          <w:p w14:paraId="03E0B300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、向事件管理、问题管理提供变更的处理结果；</w:t>
            </w:r>
          </w:p>
          <w:p w14:paraId="6B4D781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、向服务报告管理提供变更信息</w:t>
            </w:r>
          </w:p>
        </w:tc>
      </w:tr>
      <w:tr w14:paraId="4116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366C06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发布管理</w:t>
            </w:r>
          </w:p>
        </w:tc>
        <w:tc>
          <w:tcPr>
            <w:tcW w:w="1752" w:type="dxa"/>
            <w:shd w:val="clear" w:color="auto" w:fill="auto"/>
          </w:tcPr>
          <w:p w14:paraId="1832C73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对软硬件导入生产环境的过程进行管理</w:t>
            </w:r>
          </w:p>
        </w:tc>
        <w:tc>
          <w:tcPr>
            <w:tcW w:w="1884" w:type="dxa"/>
            <w:shd w:val="clear" w:color="auto" w:fill="auto"/>
          </w:tcPr>
          <w:p w14:paraId="63E174A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发布成功率≥9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%</w:t>
            </w:r>
          </w:p>
          <w:p w14:paraId="333B102F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计算方式：发布</w:t>
            </w:r>
            <w:r>
              <w:rPr>
                <w:rFonts w:hint="eastAsia"/>
                <w:lang w:val="en-US" w:eastAsia="zh-CN"/>
              </w:rPr>
              <w:t>成功次数</w:t>
            </w:r>
            <w:r>
              <w:rPr>
                <w:rFonts w:hint="default"/>
                <w:lang w:val="en-US" w:eastAsia="zh-CN"/>
              </w:rPr>
              <w:t>/发布总</w:t>
            </w:r>
            <w:r>
              <w:rPr>
                <w:rFonts w:hint="eastAsia"/>
                <w:lang w:val="en-US" w:eastAsia="zh-CN"/>
              </w:rPr>
              <w:t>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2DFCB3CC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61D3097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从变更管理获得变更授权</w:t>
            </w:r>
          </w:p>
        </w:tc>
        <w:tc>
          <w:tcPr>
            <w:tcW w:w="1949" w:type="dxa"/>
            <w:shd w:val="clear" w:color="auto" w:fill="auto"/>
          </w:tcPr>
          <w:p w14:paraId="7D791CB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、向配置管理提供配置项的更新和修改信息；</w:t>
            </w:r>
          </w:p>
          <w:p w14:paraId="2FEF3B41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、向变更管理提供对变更记录的更新和修改信息；</w:t>
            </w:r>
          </w:p>
          <w:p w14:paraId="1652364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、向问题管理提供已知错误信息</w:t>
            </w:r>
          </w:p>
          <w:p w14:paraId="425A00D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 、向服务报告管理提供发布信息</w:t>
            </w:r>
          </w:p>
        </w:tc>
      </w:tr>
      <w:tr w14:paraId="7588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5FC7AA7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配置管理</w:t>
            </w:r>
          </w:p>
        </w:tc>
        <w:tc>
          <w:tcPr>
            <w:tcW w:w="1752" w:type="dxa"/>
            <w:shd w:val="clear" w:color="auto" w:fill="auto"/>
          </w:tcPr>
          <w:p w14:paraId="65735B45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确保客户业务系</w:t>
            </w:r>
          </w:p>
          <w:p w14:paraId="0D3897A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统生产环境各类</w:t>
            </w:r>
          </w:p>
          <w:p w14:paraId="3816B36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配置项以及关系</w:t>
            </w:r>
          </w:p>
          <w:p w14:paraId="39B6CEAB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能够得到及时地</w:t>
            </w:r>
          </w:p>
          <w:p w14:paraId="5A2CCD9E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导入和维护 ，从</w:t>
            </w:r>
          </w:p>
          <w:p w14:paraId="4124BD7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而展示客户业务</w:t>
            </w:r>
          </w:p>
          <w:p w14:paraId="15AE6036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系统生产环境实</w:t>
            </w:r>
          </w:p>
          <w:p w14:paraId="6B492B63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时状态</w:t>
            </w:r>
          </w:p>
        </w:tc>
        <w:tc>
          <w:tcPr>
            <w:tcW w:w="1884" w:type="dxa"/>
            <w:shd w:val="clear" w:color="auto" w:fill="auto"/>
          </w:tcPr>
          <w:p w14:paraId="3078DC0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</w:t>
            </w:r>
            <w:r>
              <w:rPr>
                <w:rFonts w:hint="eastAsia"/>
                <w:lang w:val="en-US" w:eastAsia="zh-CN"/>
              </w:rPr>
              <w:t>准确率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%计算方式：</w:t>
            </w:r>
            <w:r>
              <w:rPr>
                <w:rFonts w:hint="eastAsia"/>
                <w:lang w:val="en-US" w:eastAsia="zh-CN"/>
              </w:rPr>
              <w:t>准确配置次数/配置总次数*</w:t>
            </w:r>
            <w:r>
              <w:rPr>
                <w:rFonts w:hint="default"/>
                <w:lang w:val="en-US" w:eastAsia="zh-CN"/>
              </w:rPr>
              <w:t>100%</w:t>
            </w:r>
          </w:p>
          <w:p w14:paraId="2619B3AA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考核频次：季度</w:t>
            </w:r>
          </w:p>
        </w:tc>
        <w:tc>
          <w:tcPr>
            <w:tcW w:w="1944" w:type="dxa"/>
            <w:shd w:val="clear" w:color="auto" w:fill="auto"/>
          </w:tcPr>
          <w:p w14:paraId="71AE487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、从变更管理、发布管理获得对配置项的更新和修改信息；</w:t>
            </w:r>
          </w:p>
          <w:p w14:paraId="2811B9B2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 、从连续性和可用性管理获得可用性计划和连续性计划</w:t>
            </w:r>
          </w:p>
        </w:tc>
        <w:tc>
          <w:tcPr>
            <w:tcW w:w="1949" w:type="dxa"/>
            <w:shd w:val="clear" w:color="auto" w:fill="auto"/>
          </w:tcPr>
          <w:p w14:paraId="51DD9059">
            <w:pPr>
              <w:widowControl w:val="0"/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向事件管理、 问题管理、变更管理、发布管理、可用性与连续性管理、容量管理、信息安全管理、服务报告管理提供配置项信息及配置项间的关系</w:t>
            </w:r>
          </w:p>
        </w:tc>
      </w:tr>
      <w:tr w14:paraId="42BD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71DAC66B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可用性和连续性管理</w:t>
            </w:r>
          </w:p>
        </w:tc>
        <w:tc>
          <w:tcPr>
            <w:tcW w:w="1752" w:type="dxa"/>
            <w:shd w:val="clear" w:color="auto" w:fill="auto"/>
          </w:tcPr>
          <w:p w14:paraId="3E4DDAE8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当客户业务发生中断或重大灾害、意外事件时，公司在符合成本效益和业务快速恢复的原则下，最大化降低客户业务损失</w:t>
            </w:r>
          </w:p>
        </w:tc>
        <w:tc>
          <w:tcPr>
            <w:tcW w:w="1884" w:type="dxa"/>
            <w:shd w:val="clear" w:color="auto" w:fill="auto"/>
          </w:tcPr>
          <w:p w14:paraId="208F9AD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>关键服务可用性</w:t>
            </w:r>
            <w:r>
              <w:rPr>
                <w:rFonts w:hint="default"/>
                <w:lang w:val="en-US" w:eastAsia="zh-CN"/>
              </w:rPr>
              <w:t>≥9</w:t>
            </w:r>
            <w:r>
              <w:rPr>
                <w:rFonts w:hint="eastAsia"/>
                <w:lang w:val="en-US" w:eastAsia="zh-CN"/>
              </w:rPr>
              <w:t>9</w:t>
            </w:r>
            <w:r>
              <w:rPr>
                <w:rFonts w:hint="default"/>
                <w:lang w:val="en-US" w:eastAsia="zh-CN"/>
              </w:rPr>
              <w:t>%：</w:t>
            </w:r>
          </w:p>
          <w:p w14:paraId="0AE9C40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计算方式:(服务约定运行时间-服务不可用时间)/服务约定运行时间*100%</w:t>
            </w:r>
            <w:r>
              <w:rPr>
                <w:rFonts w:hint="default"/>
                <w:lang w:val="en-US" w:eastAsia="zh-CN"/>
              </w:rPr>
              <w:t xml:space="preserve"> 考核频次 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  <w:p w14:paraId="057E1AAE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</w:t>
            </w:r>
            <w:r>
              <w:rPr>
                <w:rFonts w:hint="eastAsia"/>
                <w:lang w:val="en-US" w:eastAsia="zh-CN"/>
              </w:rPr>
              <w:t>服务中断事件数量≤1次</w:t>
            </w:r>
          </w:p>
          <w:p w14:paraId="3DD80AA9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计算方式:统计期内导致服务不可用的事件发生次数</w:t>
            </w: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月度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4E828D8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5C9500B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2、从配置管理获取配置项信息；</w:t>
            </w:r>
          </w:p>
        </w:tc>
        <w:tc>
          <w:tcPr>
            <w:tcW w:w="1949" w:type="dxa"/>
            <w:shd w:val="clear" w:color="auto" w:fill="auto"/>
          </w:tcPr>
          <w:p w14:paraId="32323C4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1、向容量管理提供灾难中或恢复阶段的服务容量需求 ， 如人员和资源的配给；</w:t>
            </w:r>
          </w:p>
          <w:p w14:paraId="4685070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2、向变更管理提供可用性计划和连续性计划的变更请求；</w:t>
            </w:r>
          </w:p>
          <w:p w14:paraId="60B38DF1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 、向服务报告管理输出可用性和连续性管理数据</w:t>
            </w:r>
          </w:p>
        </w:tc>
      </w:tr>
      <w:tr w14:paraId="08604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3F714B5A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容量管理</w:t>
            </w:r>
          </w:p>
        </w:tc>
        <w:tc>
          <w:tcPr>
            <w:tcW w:w="1752" w:type="dxa"/>
            <w:shd w:val="clear" w:color="auto" w:fill="auto"/>
          </w:tcPr>
          <w:p w14:paraId="4AFA30C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对业务系统额定容量展开监控和处置，消除客户业务容量风险，确保公司提供的服务满足规 定 的 SLA ，确保客户业务系统的运行满足业务需求</w:t>
            </w:r>
          </w:p>
        </w:tc>
        <w:tc>
          <w:tcPr>
            <w:tcW w:w="1884" w:type="dxa"/>
            <w:shd w:val="clear" w:color="auto" w:fill="auto"/>
          </w:tcPr>
          <w:p w14:paraId="20667F10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容量事件次数≤1次</w:t>
            </w:r>
          </w:p>
          <w:p w14:paraId="7CE727C4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计算方式:因容量不足导致的服务事件数量</w:t>
            </w:r>
          </w:p>
          <w:p w14:paraId="4B7EAF5E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（考核频次：</w:t>
            </w:r>
            <w:r>
              <w:rPr>
                <w:rFonts w:hint="eastAsia"/>
                <w:lang w:val="en-US" w:eastAsia="zh-CN"/>
              </w:rPr>
              <w:t>季度</w:t>
            </w:r>
            <w:r>
              <w:rPr>
                <w:rFonts w:hint="default"/>
                <w:lang w:val="en-US" w:eastAsia="zh-CN"/>
              </w:rPr>
              <w:t>）</w:t>
            </w:r>
          </w:p>
        </w:tc>
        <w:tc>
          <w:tcPr>
            <w:tcW w:w="1944" w:type="dxa"/>
            <w:shd w:val="clear" w:color="auto" w:fill="auto"/>
          </w:tcPr>
          <w:p w14:paraId="09C80A5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1、从服务级别管理获得服务级别协议；</w:t>
            </w:r>
          </w:p>
          <w:p w14:paraId="0333755B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2、从可用性和连续性管理获得容量需求；</w:t>
            </w:r>
          </w:p>
          <w:p w14:paraId="781356AF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3、向配置管理获取相关配置项信息；</w:t>
            </w:r>
          </w:p>
          <w:p w14:paraId="1E676BC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4、从事件管理获取因容量问题引发的事件</w:t>
            </w:r>
          </w:p>
        </w:tc>
        <w:tc>
          <w:tcPr>
            <w:tcW w:w="1949" w:type="dxa"/>
            <w:shd w:val="clear" w:color="auto" w:fill="auto"/>
          </w:tcPr>
          <w:p w14:paraId="2EC6B887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 、向变更管理提供容量管理变更请求；</w:t>
            </w:r>
          </w:p>
          <w:p w14:paraId="2AFA85F7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 、向服务报告管理输出容量管理数据</w:t>
            </w:r>
          </w:p>
        </w:tc>
      </w:tr>
      <w:tr w14:paraId="4EB7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shd w:val="clear" w:color="auto" w:fill="auto"/>
          </w:tcPr>
          <w:p w14:paraId="64B7BAF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信息安全</w:t>
            </w:r>
          </w:p>
          <w:p w14:paraId="13DC1711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管理</w:t>
            </w:r>
          </w:p>
        </w:tc>
        <w:tc>
          <w:tcPr>
            <w:tcW w:w="1752" w:type="dxa"/>
            <w:shd w:val="clear" w:color="auto" w:fill="auto"/>
          </w:tcPr>
          <w:p w14:paraId="6229D55A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通过规范的信息</w:t>
            </w:r>
          </w:p>
          <w:p w14:paraId="1A9CBE7A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安全管理，识别、评估并合理应对运维服务过程中的各类安全风险 ，降低信息安全风险影响</w:t>
            </w:r>
          </w:p>
        </w:tc>
        <w:tc>
          <w:tcPr>
            <w:tcW w:w="1884" w:type="dxa"/>
            <w:shd w:val="clear" w:color="auto" w:fill="auto"/>
          </w:tcPr>
          <w:p w14:paraId="6F4A944C">
            <w:pPr>
              <w:widowControl w:val="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信息泄露次数</w:t>
            </w:r>
            <w:r>
              <w:rPr>
                <w:rFonts w:hint="eastAsia"/>
                <w:lang w:val="en-US" w:eastAsia="zh-CN"/>
              </w:rPr>
              <w:t>≤2次</w:t>
            </w:r>
            <w:bookmarkStart w:id="2" w:name="_GoBack"/>
            <w:bookmarkEnd w:id="2"/>
          </w:p>
          <w:p w14:paraId="6F616338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计算方式:客户信息泄露的事件次数</w:t>
            </w:r>
          </w:p>
          <w:p w14:paraId="54581D0F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考核频次：</w:t>
            </w: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1944" w:type="dxa"/>
            <w:shd w:val="clear" w:color="auto" w:fill="auto"/>
          </w:tcPr>
          <w:p w14:paraId="30F9351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1、从服务级别管理获得关于信息安全管理的服务要求、法律法规和合同义务；</w:t>
            </w:r>
          </w:p>
          <w:p w14:paraId="7D153A8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2、从配置管理获得配置项信息；</w:t>
            </w:r>
          </w:p>
          <w:p w14:paraId="5E6D7CE3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3、从变更管理中获得变更请求信息；</w:t>
            </w:r>
          </w:p>
          <w:p w14:paraId="4C920AF5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4、从事件管理获得信息安全事件信息</w:t>
            </w:r>
          </w:p>
        </w:tc>
        <w:tc>
          <w:tcPr>
            <w:tcW w:w="1949" w:type="dxa"/>
            <w:shd w:val="clear" w:color="auto" w:fill="auto"/>
          </w:tcPr>
          <w:p w14:paraId="7A515BA5">
            <w:pPr>
              <w:widowControl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1、向变更管理提供信息安全风险及其影响的信息；</w:t>
            </w:r>
          </w:p>
          <w:p w14:paraId="3D09DEDE">
            <w:pPr>
              <w:widowControl w:val="0"/>
              <w:bidi w:val="0"/>
              <w:rPr>
                <w:rFonts w:hint="default"/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2、向服务报告管理提供信息安全相关信息。</w:t>
            </w:r>
          </w:p>
        </w:tc>
      </w:tr>
    </w:tbl>
    <w:p w14:paraId="566DE836">
      <w:pPr>
        <w:pStyle w:val="29"/>
        <w:bidi w:val="0"/>
        <w:rPr>
          <w:rFonts w:hint="eastAsia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CD799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5F5EF3"/>
    <w:rsid w:val="270A0791"/>
    <w:rsid w:val="2DFF23F5"/>
    <w:rsid w:val="384168A4"/>
    <w:rsid w:val="3EC10AB8"/>
    <w:rsid w:val="3F895187"/>
    <w:rsid w:val="51301BB0"/>
    <w:rsid w:val="59802427"/>
    <w:rsid w:val="5DD706C5"/>
    <w:rsid w:val="5F750196"/>
    <w:rsid w:val="61E80859"/>
    <w:rsid w:val="77644920"/>
    <w:rsid w:val="783C3009"/>
    <w:rsid w:val="7A20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2922</Words>
  <Characters>3186</Characters>
  <Lines>0</Lines>
  <Paragraphs>0</Paragraphs>
  <TotalTime>0</TotalTime>
  <ScaleCrop>false</ScaleCrop>
  <LinksUpToDate>false</LinksUpToDate>
  <CharactersWithSpaces>3388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2026-01-15T07:41:01Z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