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GoBack"/>
      <w:bookmarkStart w:id="1" w:name="_Toc22334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北京新都远景网络技术有限公司</w:t>
      </w:r>
      <w:bookmarkEnd w:id="1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2" w:name="_Toc7746"/>
      <w:r>
        <w:rPr>
          <w:rFonts w:hint="eastAsia"/>
          <w:lang w:val="en-US" w:eastAsia="zh-CN"/>
        </w:rPr>
        <w:t>运维服务技术研发管理制度</w:t>
      </w:r>
      <w:bookmarkEnd w:id="2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XDYJ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7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-01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研发部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孙玥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孙玥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_Toc22334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北京新都远景网络技术有限公司</w:t>
          </w:r>
          <w:r>
            <w:tab/>
          </w:r>
          <w:r>
            <w:fldChar w:fldCharType="begin"/>
          </w:r>
          <w:r>
            <w:instrText xml:space="preserve"> PAGEREF _Toc22334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_Toc7746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运维服务技术研发管理制度</w:t>
          </w:r>
          <w:r>
            <w:tab/>
          </w:r>
          <w:r>
            <w:fldChar w:fldCharType="begin"/>
          </w:r>
          <w:r>
            <w:instrText xml:space="preserve"> PAGEREF _Toc7746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_Toc22441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_Toc22441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_Toc27851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_Toc27851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_Toc25427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_Toc25427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_Toc12318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_Toc12318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_Toc514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_Toc514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_Toc18231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1.4.1. </w:t>
          </w:r>
          <w:r>
            <w:rPr>
              <w:rFonts w:hint="eastAsia"/>
              <w:lang w:val="en-US" w:eastAsia="zh-CN"/>
            </w:rPr>
            <w:t>运维管理部</w:t>
          </w:r>
          <w:r>
            <w:tab/>
          </w:r>
          <w:r>
            <w:fldChar w:fldCharType="begin"/>
          </w:r>
          <w:r>
            <w:instrText xml:space="preserve"> PAGEREF _Toc18231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_Toc23527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1.4.2. </w:t>
          </w:r>
          <w:r>
            <w:rPr>
              <w:rFonts w:hint="eastAsia"/>
              <w:lang w:val="en-US" w:eastAsia="zh-CN"/>
            </w:rPr>
            <w:t>研发部</w:t>
          </w:r>
          <w:r>
            <w:tab/>
          </w:r>
          <w:r>
            <w:fldChar w:fldCharType="begin"/>
          </w:r>
          <w:r>
            <w:instrText xml:space="preserve"> PAGEREF _Toc23527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_Toc29211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1.4.3. </w:t>
          </w:r>
          <w:r>
            <w:rPr>
              <w:rFonts w:hint="eastAsia"/>
              <w:lang w:val="en-US" w:eastAsia="zh-CN"/>
            </w:rPr>
            <w:t>质量效能部</w:t>
          </w:r>
          <w:r>
            <w:tab/>
          </w:r>
          <w:r>
            <w:fldChar w:fldCharType="begin"/>
          </w:r>
          <w:r>
            <w:instrText xml:space="preserve"> PAGEREF _Toc29211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_Toc28451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1.4.4. </w:t>
          </w:r>
          <w:r>
            <w:rPr>
              <w:rFonts w:hint="eastAsia"/>
              <w:lang w:val="en-US" w:eastAsia="zh-CN"/>
            </w:rPr>
            <w:t>人力资源部</w:t>
          </w:r>
          <w:r>
            <w:tab/>
          </w:r>
          <w:r>
            <w:fldChar w:fldCharType="begin"/>
          </w:r>
          <w:r>
            <w:instrText xml:space="preserve"> PAGEREF _Toc28451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_Toc17363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_Toc17363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_Toc603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_Toc603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_Toc28966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3.1. </w:t>
          </w:r>
          <w:r>
            <w:rPr>
              <w:rFonts w:hint="eastAsia"/>
              <w:lang w:val="en-US" w:eastAsia="zh-CN"/>
            </w:rPr>
            <w:t>运维工具</w:t>
          </w:r>
          <w:r>
            <w:tab/>
          </w:r>
          <w:r>
            <w:fldChar w:fldCharType="begin"/>
          </w:r>
          <w:r>
            <w:instrText xml:space="preserve"> PAGEREF _Toc28966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_Toc17683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 </w:t>
          </w:r>
          <w:r>
            <w:rPr>
              <w:rFonts w:hint="eastAsia"/>
              <w:lang w:val="en-US" w:eastAsia="zh-CN"/>
            </w:rPr>
            <w:t>产品基线</w:t>
          </w:r>
          <w:r>
            <w:tab/>
          </w:r>
          <w:r>
            <w:fldChar w:fldCharType="begin"/>
          </w:r>
          <w:r>
            <w:instrText xml:space="preserve"> PAGEREF _Toc17683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_Toc18965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3.3. </w:t>
          </w:r>
          <w:r>
            <w:rPr>
              <w:rFonts w:hint="eastAsia"/>
              <w:lang w:val="en-US" w:eastAsia="zh-CN"/>
            </w:rPr>
            <w:t>代码走查</w:t>
          </w:r>
          <w:r>
            <w:tab/>
          </w:r>
          <w:r>
            <w:fldChar w:fldCharType="begin"/>
          </w:r>
          <w:r>
            <w:instrText xml:space="preserve"> PAGEREF _Toc18965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_Toc21409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_Toc21409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_Toc23671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立项阶段</w:t>
          </w:r>
          <w:r>
            <w:tab/>
          </w:r>
          <w:r>
            <w:fldChar w:fldCharType="begin"/>
          </w:r>
          <w:r>
            <w:instrText xml:space="preserve"> PAGEREF _Toc23671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_Toc17399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设计阶段</w:t>
          </w:r>
          <w:r>
            <w:tab/>
          </w:r>
          <w:r>
            <w:fldChar w:fldCharType="begin"/>
          </w:r>
          <w:r>
            <w:instrText xml:space="preserve"> PAGEREF _Toc17399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_Toc28702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4.3. </w:t>
          </w:r>
          <w:r>
            <w:rPr>
              <w:rFonts w:hint="eastAsia"/>
              <w:lang w:val="en-US" w:eastAsia="zh-CN"/>
            </w:rPr>
            <w:t>实现阶段</w:t>
          </w:r>
          <w:r>
            <w:tab/>
          </w:r>
          <w:r>
            <w:fldChar w:fldCharType="begin"/>
          </w:r>
          <w:r>
            <w:instrText xml:space="preserve"> PAGEREF _Toc28702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_Toc18848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4.4. </w:t>
          </w:r>
          <w:r>
            <w:rPr>
              <w:rFonts w:hint="eastAsia"/>
              <w:lang w:val="en-US" w:eastAsia="zh-CN"/>
            </w:rPr>
            <w:t>验证阶段</w:t>
          </w:r>
          <w:r>
            <w:tab/>
          </w:r>
          <w:r>
            <w:fldChar w:fldCharType="begin"/>
          </w:r>
          <w:r>
            <w:instrText xml:space="preserve"> PAGEREF _Toc18848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_Toc20840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4.5. </w:t>
          </w:r>
          <w:r>
            <w:rPr>
              <w:rFonts w:hint="eastAsia"/>
              <w:lang w:val="en-US" w:eastAsia="zh-CN"/>
            </w:rPr>
            <w:t>发布阶段</w:t>
          </w:r>
          <w:r>
            <w:tab/>
          </w:r>
          <w:r>
            <w:fldChar w:fldCharType="begin"/>
          </w:r>
          <w:r>
            <w:instrText xml:space="preserve"> PAGEREF _Toc20840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_Toc12948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4.6.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_Toc12948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_Toc17716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_Toc17716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_Toc19418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_Toc19418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_Toc6536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_Toc6536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  <w:rPr>
          <w:rFonts w:hint="eastAsia"/>
          <w:lang w:val="en-US" w:eastAsia="zh-CN"/>
        </w:rPr>
      </w:pPr>
      <w:bookmarkStart w:id="3" w:name="_Toc22441"/>
      <w:r>
        <w:rPr>
          <w:rFonts w:hint="eastAsia"/>
          <w:lang w:val="en-US" w:eastAsia="zh-CN"/>
        </w:rPr>
        <w:t>总则</w:t>
      </w:r>
      <w:bookmarkEnd w:id="3"/>
    </w:p>
    <w:p>
      <w:pPr>
        <w:pStyle w:val="2"/>
        <w:bidi w:val="0"/>
        <w:rPr>
          <w:rFonts w:hint="eastAsia"/>
          <w:lang w:val="en-US" w:eastAsia="zh-CN"/>
        </w:rPr>
      </w:pPr>
      <w:bookmarkStart w:id="4" w:name="_Toc27851"/>
      <w:r>
        <w:rPr>
          <w:rFonts w:hint="eastAsia"/>
          <w:lang w:val="en-US" w:eastAsia="zh-CN"/>
        </w:rPr>
        <w:t>目的</w:t>
      </w:r>
      <w:bookmarkEnd w:id="4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为规范公司内部运维工具的研发与管理，明确项目立项、设计、实现、验证及发布各阶段的要求，确保研发过程有序、可控、高效，其成果能有效提升运维服务能力与效率，特制定本制度。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5" w:name="_Toc25427"/>
      <w:r>
        <w:rPr>
          <w:rFonts w:hint="eastAsia"/>
          <w:lang w:val="en-US" w:eastAsia="zh-CN"/>
        </w:rPr>
        <w:t>适用范围</w:t>
      </w:r>
      <w:bookmarkEnd w:id="5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本制度适用于公司内部为提升运维自动化、智能化水平而发起的所有自研工具项目。涉及部门包括运维管理部、研发部、质量效能部、人力资源部。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6" w:name="_Toc12318"/>
      <w:r>
        <w:rPr>
          <w:rFonts w:hint="eastAsia"/>
          <w:lang w:val="en-US" w:eastAsia="zh-CN"/>
        </w:rPr>
        <w:t>原则</w:t>
      </w:r>
      <w:bookmarkEnd w:id="6"/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价值驱动原则：工具研发必须紧密围绕运维业务的实际需求与痛点，确保其交付物能产生实际业务价值。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质量内建原则：在研发全过程中嵌入质量保证活动，确保交付工具的功能、性能及稳定性。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协同共建原则：运维管理部作为需求方和最终用户，应全程参与；研发部作为实现方，应确保技术方案的先进与可靠；质量效能部负责全过程质量监督。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7" w:name="_Toc514"/>
      <w:r>
        <w:rPr>
          <w:rFonts w:hint="eastAsia"/>
          <w:lang w:val="en-US" w:eastAsia="zh-CN"/>
        </w:rPr>
        <w:t>岗位职责</w:t>
      </w:r>
      <w:bookmarkEnd w:id="7"/>
    </w:p>
    <w:p>
      <w:pPr>
        <w:pStyle w:val="3"/>
        <w:bidi w:val="0"/>
        <w:rPr>
          <w:rFonts w:hint="eastAsia"/>
          <w:lang w:val="en-US" w:eastAsia="zh-CN"/>
        </w:rPr>
      </w:pPr>
      <w:bookmarkStart w:id="8" w:name="_Toc18231"/>
      <w:r>
        <w:rPr>
          <w:rFonts w:hint="eastAsia"/>
          <w:lang w:val="en-US" w:eastAsia="zh-CN"/>
        </w:rPr>
        <w:t>运维管理部</w:t>
      </w:r>
      <w:bookmarkEnd w:id="8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作为需求提出方和最终用户，负责提出工具需求、参与各阶段评审、组织用户验收测试（UAT）及试运行。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9" w:name="_Toc23527"/>
      <w:r>
        <w:rPr>
          <w:rFonts w:hint="eastAsia"/>
          <w:lang w:val="en-US" w:eastAsia="zh-CN"/>
        </w:rPr>
        <w:t>研发部</w:t>
      </w:r>
      <w:bookmarkEnd w:id="9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作为研发责任主体，负责项目计划制定、技术方案设计、编码实现、集成测试及技术文档编制。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10" w:name="_Toc29211"/>
      <w:r>
        <w:rPr>
          <w:rFonts w:hint="eastAsia"/>
          <w:lang w:val="en-US" w:eastAsia="zh-CN"/>
        </w:rPr>
        <w:t>质量效能部</w:t>
      </w:r>
      <w:bookmarkEnd w:id="10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负责监督研发过程合规性，制定测试方案并组织系统测试，确保交付质量。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11" w:name="_Toc28451"/>
      <w:r>
        <w:rPr>
          <w:rFonts w:hint="eastAsia"/>
          <w:lang w:val="en-US" w:eastAsia="zh-CN"/>
        </w:rPr>
        <w:t>人力资源部</w:t>
      </w:r>
      <w:bookmarkEnd w:id="11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负责组织相关制度与规范的培训。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12" w:name="_Toc17363"/>
      <w:r>
        <w:rPr>
          <w:rFonts w:hint="eastAsia"/>
          <w:lang w:val="en-US" w:eastAsia="zh-CN"/>
        </w:rPr>
        <w:t>引用依据</w:t>
      </w:r>
      <w:bookmarkEnd w:id="12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本制度的制定遵循并引用以下国家标准与行业规范：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 《信息技术服务 运行维护 第1部分：通用要求》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 《信息技术服务 运行维护 第2部分：交付规范》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28827.3-2012 《信息技术服务 运行维护 第3部分：应急响应规范》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 《信息技术服务 运行维护服务能力成熟度模型》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13" w:name="_Toc603"/>
      <w:r>
        <w:rPr>
          <w:rFonts w:hint="eastAsia"/>
          <w:lang w:val="en-US" w:eastAsia="zh-CN"/>
        </w:rPr>
        <w:t>定义与术语</w:t>
      </w:r>
      <w:bookmarkEnd w:id="13"/>
    </w:p>
    <w:p>
      <w:pPr>
        <w:pStyle w:val="2"/>
        <w:bidi w:val="0"/>
        <w:rPr>
          <w:rFonts w:hint="eastAsia"/>
          <w:lang w:val="en-US" w:eastAsia="zh-CN"/>
        </w:rPr>
      </w:pPr>
      <w:bookmarkStart w:id="14" w:name="_Toc28966"/>
      <w:r>
        <w:rPr>
          <w:rFonts w:hint="eastAsia"/>
          <w:lang w:val="en-US" w:eastAsia="zh-CN"/>
        </w:rPr>
        <w:t>运维工具</w:t>
      </w:r>
      <w:bookmarkEnd w:id="14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指由公司自主研发，用于支持信息系统运行维护活动的软件程序，旨在实现运维工作的自动化、规范化与可视化。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15" w:name="_Toc17683"/>
      <w:r>
        <w:rPr>
          <w:rFonts w:hint="eastAsia"/>
          <w:lang w:val="en-US" w:eastAsia="zh-CN"/>
        </w:rPr>
        <w:t>产品基线</w:t>
      </w:r>
      <w:bookmarkEnd w:id="15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指在发布阶段确定的、包含所有最终版本代码、文档及相关配置的集合，是后续部署、升级和维护的基准。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16" w:name="_Toc18965"/>
      <w:r>
        <w:rPr>
          <w:rFonts w:hint="eastAsia"/>
          <w:lang w:val="en-US" w:eastAsia="zh-CN"/>
        </w:rPr>
        <w:t>代码走查</w:t>
      </w:r>
      <w:bookmarkEnd w:id="16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一种由开发人员相互审查源代码，以发现缺陷、保证代码质量的静态测试方法。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17" w:name="_Toc21409"/>
      <w:r>
        <w:rPr>
          <w:rFonts w:hint="eastAsia"/>
          <w:lang w:val="en-US" w:eastAsia="zh-CN"/>
        </w:rPr>
        <w:t>管理内容与要求</w:t>
      </w:r>
      <w:bookmarkEnd w:id="17"/>
    </w:p>
    <w:p>
      <w:pPr>
        <w:pStyle w:val="2"/>
        <w:bidi w:val="0"/>
        <w:rPr>
          <w:rFonts w:hint="eastAsia"/>
          <w:lang w:val="en-US" w:eastAsia="zh-CN"/>
        </w:rPr>
      </w:pPr>
      <w:bookmarkStart w:id="18" w:name="_Toc23671"/>
      <w:r>
        <w:rPr>
          <w:rFonts w:hint="eastAsia"/>
          <w:lang w:val="en-US" w:eastAsia="zh-CN"/>
        </w:rPr>
        <w:t>立项阶段</w:t>
      </w:r>
      <w:bookmarkEnd w:id="18"/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输入：《运维工具需求调研报告》、《项目开发计划》、《项目立项书》。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过程要求：运维管理部需明确业务需求及预期效益；研发部需评估技术可行性并制定计划；最终需通过由研发部组织的立项评审。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输出与标准：形成经会签的《评审过程记录表》及相关立项文档。检查标准为《评审过程记录表》的完整会签与所有关键问题的闭环。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19" w:name="_Toc17399"/>
      <w:r>
        <w:rPr>
          <w:rFonts w:hint="eastAsia"/>
          <w:lang w:val="en-US" w:eastAsia="zh-CN"/>
        </w:rPr>
        <w:t>设计阶段</w:t>
      </w:r>
      <w:bookmarkEnd w:id="19"/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输入：《运维工具设计说明书》、《运维工具测试方案》。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过程要求：研发部需完成总体设计与详细设计；质量效能部需制定完整的测试策略；对关键技术必须完成验证。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输出与标准：形成经会签的《评审过程记录表》及相关设计文档。检查标准为技术方案经评审通过，且技术风险已确认可控。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20" w:name="_Toc28702"/>
      <w:r>
        <w:rPr>
          <w:rFonts w:hint="eastAsia"/>
          <w:lang w:val="en-US" w:eastAsia="zh-CN"/>
        </w:rPr>
        <w:t>实现阶段</w:t>
      </w:r>
      <w:bookmarkEnd w:id="20"/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输入：源代码文件、单元测试记录、集成测试记录。</w:t>
      </w:r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过程要求：开发人员须遵循编码规范并完成单元测试；所有模块须成功集成；必须组织代码走查或评审。</w:t>
      </w:r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输出与标准：形成可运行的集成版本及经会签的《评审过程记录表》。检查标准为代码评审通过且集成版本无阻塞性问题。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21" w:name="_Toc18848"/>
      <w:r>
        <w:rPr>
          <w:rFonts w:hint="eastAsia"/>
          <w:lang w:val="en-US" w:eastAsia="zh-CN"/>
        </w:rPr>
        <w:t>验证阶段</w:t>
      </w:r>
      <w:bookmarkEnd w:id="21"/>
    </w:p>
    <w:p>
      <w:pPr>
        <w:pStyle w:val="a1"/>
        <w:numPr>
          <w:ilvl w:val="0"/>
          <w:numId w:val="7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输入：《运维工具测试报告》、《工具使用说明书》、《工具部署手册》。</w:t>
      </w:r>
    </w:p>
    <w:p>
      <w:pPr>
        <w:pStyle w:val="a1"/>
        <w:numPr>
          <w:ilvl w:val="0"/>
          <w:numId w:val="7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过程要求：质量效能部需完成系统测试并跟踪缺陷修复；运维管理部需完成试运行验证；相关用户文档必须编制完毕。</w:t>
      </w:r>
    </w:p>
    <w:p>
      <w:pPr>
        <w:pStyle w:val="a1"/>
        <w:numPr>
          <w:ilvl w:val="0"/>
          <w:numId w:val="7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输出与标准：形成经会签的《评审过程记录表》及相关报告文档。检查标准为所有关键缺陷已关闭，且试运行结果满足发布要求。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22" w:name="_Toc20840"/>
      <w:r>
        <w:rPr>
          <w:rFonts w:hint="eastAsia"/>
          <w:lang w:val="en-US" w:eastAsia="zh-CN"/>
        </w:rPr>
        <w:t>发布阶段</w:t>
      </w:r>
      <w:bookmarkEnd w:id="22"/>
    </w:p>
    <w:p>
      <w:pPr>
        <w:pStyle w:val="a1"/>
        <w:numPr>
          <w:ilvl w:val="0"/>
          <w:numId w:val="8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输入：《项目总结报告》、全部最终交付物。</w:t>
      </w:r>
    </w:p>
    <w:p>
      <w:pPr>
        <w:pStyle w:val="a1"/>
        <w:numPr>
          <w:ilvl w:val="0"/>
          <w:numId w:val="8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过程要求：所有交付物须提交至公司配置库形成产品基线；研发部需组织结项评审并进行项目复盘。</w:t>
      </w:r>
    </w:p>
    <w:p>
      <w:pPr>
        <w:pStyle w:val="a1"/>
        <w:numPr>
          <w:ilvl w:val="0"/>
          <w:numId w:val="8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输出与标准：形成经会签的《评审过程记录表》及结项文档。检查标准为配置库中交付物齐套，且项目总结已完成。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3" w:name="_Toc12948"/>
      <w:r>
        <w:rPr>
          <w:rFonts w:hint="eastAsia"/>
          <w:lang w:val="en-US" w:eastAsia="zh-CN"/>
        </w:rPr>
        <w:t>考核指标</w:t>
      </w:r>
      <w:bookmarkEnd w:id="23"/>
    </w:p>
    <w:p>
      <w:pPr>
        <w:pStyle w:val="a1"/>
        <w:ind w:left="0" w:right="0" w:firstLine="0" w:leftChars="0" w:rightChars="0" w:firstLineChars="0"/>
        <w:jc w:val="center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研发管理考核指标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"/>
        <w:gridCol w:w="1839"/>
        <w:gridCol w:w="3637"/>
        <w:gridCol w:w="1107"/>
        <w:gridCol w:w="1094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183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衡量指标</w:t>
            </w:r>
          </w:p>
        </w:tc>
        <w:tc>
          <w:tcPr>
            <w:tcW w:w="363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指标计算说明</w:t>
            </w:r>
          </w:p>
        </w:tc>
        <w:tc>
          <w:tcPr>
            <w:tcW w:w="11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考核频次</w:t>
            </w:r>
          </w:p>
        </w:tc>
        <w:tc>
          <w:tcPr>
            <w:tcW w:w="109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目标值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839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val="en-US" w:eastAsia="zh-CN"/>
              </w:rPr>
              <w:t>研发资金投入率</w:t>
            </w:r>
          </w:p>
        </w:tc>
        <w:tc>
          <w:tcPr>
            <w:tcW w:w="3637" w:type="dxa"/>
          </w:tcPr>
          <w:p>
            <w:pPr>
              <w:pStyle w:val="a1"/>
              <w:widowControl w:val="0"/>
              <w:ind w:left="0" w:firstLine="0" w:leftChars="0" w:firstLineChars="0"/>
              <w:jc w:val="left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仿宋" w:hAnsi="仿宋" w:cs="宋体" w:hint="eastAsia"/>
                <w:kern w:val="0"/>
                <w:sz w:val="21"/>
                <w:szCs w:val="21"/>
              </w:rPr>
              <w:t>（实际投入资金</w:t>
            </w:r>
            <w:r>
              <w:rPr>
                <w:rFonts w:ascii="仿宋" w:hAnsi="仿宋" w:cs="宋体"/>
                <w:kern w:val="0"/>
                <w:sz w:val="21"/>
                <w:szCs w:val="21"/>
              </w:rPr>
              <w:t>/</w:t>
            </w:r>
            <w:r>
              <w:rPr>
                <w:rFonts w:ascii="仿宋" w:hAnsi="仿宋" w:cs="宋体" w:hint="eastAsia"/>
                <w:kern w:val="0"/>
                <w:sz w:val="21"/>
                <w:szCs w:val="21"/>
              </w:rPr>
              <w:t>计划投入资金）</w:t>
            </w:r>
            <w:r>
              <w:rPr>
                <w:rFonts w:ascii="仿宋" w:hAnsi="仿宋" w:cs="宋体"/>
                <w:kern w:val="0"/>
                <w:sz w:val="21"/>
                <w:szCs w:val="21"/>
              </w:rPr>
              <w:t>*100%</w:t>
            </w:r>
          </w:p>
        </w:tc>
        <w:tc>
          <w:tcPr>
            <w:tcW w:w="110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年度</w:t>
            </w:r>
          </w:p>
        </w:tc>
        <w:tc>
          <w:tcPr>
            <w:tcW w:w="1094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≥9</w:t>
            </w:r>
            <w:r>
              <w:rPr>
                <w:rFonts w:ascii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0</w:t>
            </w: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%</w:t>
            </w:r>
          </w:p>
        </w:tc>
      </w:tr>
    </w:tbl>
    <w:p>
      <w:pPr>
        <w:pStyle w:val="1"/>
        <w:bidi w:val="0"/>
        <w:rPr>
          <w:rFonts w:hint="eastAsia"/>
          <w:lang w:val="en-US" w:eastAsia="zh-CN"/>
        </w:rPr>
      </w:pPr>
      <w:bookmarkStart w:id="24" w:name="_Toc17716"/>
      <w:r>
        <w:rPr>
          <w:rFonts w:hint="eastAsia"/>
          <w:lang w:val="en-US" w:eastAsia="zh-CN"/>
        </w:rPr>
        <w:t>附则</w:t>
      </w:r>
      <w:bookmarkEnd w:id="24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本制度最终解释权和修订权归研发部。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本制度自颁布之日起施行。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25" w:name="_Toc19418"/>
      <w:r>
        <w:rPr>
          <w:rFonts w:hint="eastAsia"/>
          <w:lang w:val="en-US" w:eastAsia="zh-CN"/>
        </w:rPr>
        <w:t>附件</w:t>
      </w:r>
      <w:bookmarkEnd w:id="25"/>
    </w:p>
    <w:p>
      <w:pPr>
        <w:pStyle w:val="a1"/>
        <w:numPr>
          <w:ilvl w:val="0"/>
          <w:numId w:val="9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《运维工具需求调研报告（模板）》</w:t>
      </w:r>
    </w:p>
    <w:p>
      <w:pPr>
        <w:pStyle w:val="a1"/>
        <w:numPr>
          <w:ilvl w:val="0"/>
          <w:numId w:val="9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《项目立项书（模板）》</w:t>
      </w:r>
    </w:p>
    <w:p>
      <w:pPr>
        <w:pStyle w:val="a1"/>
        <w:numPr>
          <w:ilvl w:val="0"/>
          <w:numId w:val="9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《项目开发计划（模板）》</w:t>
      </w:r>
    </w:p>
    <w:p>
      <w:pPr>
        <w:pStyle w:val="a1"/>
        <w:numPr>
          <w:ilvl w:val="0"/>
          <w:numId w:val="9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《运维工具设计说明书（模板）》</w:t>
      </w:r>
    </w:p>
    <w:p>
      <w:pPr>
        <w:pStyle w:val="a1"/>
        <w:numPr>
          <w:ilvl w:val="0"/>
          <w:numId w:val="9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《运维工具测试方案（模板）》</w:t>
      </w:r>
    </w:p>
    <w:p>
      <w:pPr>
        <w:pStyle w:val="a1"/>
        <w:numPr>
          <w:ilvl w:val="0"/>
          <w:numId w:val="9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《运维工具测试报告（模板）》</w:t>
      </w:r>
    </w:p>
    <w:p>
      <w:pPr>
        <w:pStyle w:val="a1"/>
        <w:numPr>
          <w:ilvl w:val="0"/>
          <w:numId w:val="9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《工具使用说明书（模板）》</w:t>
      </w:r>
    </w:p>
    <w:p>
      <w:pPr>
        <w:pStyle w:val="a1"/>
        <w:numPr>
          <w:ilvl w:val="0"/>
          <w:numId w:val="9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《工具部署指导手册（模板）》</w:t>
      </w:r>
    </w:p>
    <w:p>
      <w:pPr>
        <w:pStyle w:val="a1"/>
        <w:numPr>
          <w:ilvl w:val="0"/>
          <w:numId w:val="9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《项目总结报告（模板）》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26" w:name="_Toc6536"/>
      <w:r>
        <w:rPr>
          <w:rFonts w:hint="eastAsia"/>
          <w:lang w:val="en-US" w:eastAsia="zh-CN"/>
        </w:rPr>
        <w:t>记录</w:t>
      </w:r>
      <w:bookmarkEnd w:id="26"/>
    </w:p>
    <w:p>
      <w:pPr>
        <w:pStyle w:val="a1"/>
        <w:numPr>
          <w:ilvl w:val="0"/>
          <w:numId w:val="10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《评审过程记录表》</w:t>
      </w:r>
    </w:p>
    <w:p>
      <w:pPr>
        <w:pStyle w:val="a1"/>
        <w:numPr>
          <w:ilvl w:val="0"/>
          <w:numId w:val="10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《代码走查记录表》</w:t>
      </w:r>
    </w:p>
    <w:p>
      <w:pPr>
        <w:pStyle w:val="a1"/>
        <w:numPr>
          <w:ilvl w:val="0"/>
          <w:numId w:val="10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《配置库入库清单》</w:t>
      </w:r>
    </w:p>
    <w:sectPr>
      <w:headerReference w:type="default" r:id="rId6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北京新都远景网络技术有限公司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669E365"/>
    <w:multiLevelType w:val="singleLevel"/>
    <w:tmpl w:val="8669E36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9F648049"/>
    <w:multiLevelType w:val="singleLevel"/>
    <w:tmpl w:val="9F64804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C38FEFC6"/>
    <w:multiLevelType w:val="singleLevel"/>
    <w:tmpl w:val="C38FEFC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FA09909B"/>
    <w:multiLevelType w:val="singleLevel"/>
    <w:tmpl w:val="FA09909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0E577423"/>
    <w:multiLevelType w:val="singleLevel"/>
    <w:tmpl w:val="0E57742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1DCC3EAE"/>
    <w:multiLevelType w:val="singleLevel"/>
    <w:tmpl w:val="1DCC3EA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397583CD"/>
    <w:multiLevelType w:val="singleLevel"/>
    <w:tmpl w:val="397583C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5DC60F74"/>
    <w:multiLevelType w:val="singleLevel"/>
    <w:tmpl w:val="5DC60F7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6E8198AC"/>
    <w:multiLevelType w:val="singleLevel"/>
    <w:tmpl w:val="6E8198A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9"/>
  </w:num>
  <w:num w:numId="3">
    <w:abstractNumId w:val="6"/>
  </w:num>
  <w:num w:numId="4">
    <w:abstractNumId w:val="3"/>
  </w:num>
  <w:num w:numId="5">
    <w:abstractNumId w:val="2"/>
  </w:num>
  <w:num w:numId="6">
    <w:abstractNumId w:val="8"/>
  </w:num>
  <w:num w:numId="7">
    <w:abstractNumId w:val="0"/>
  </w:num>
  <w:num w:numId="8">
    <w:abstractNumId w:val="5"/>
  </w:num>
  <w:num w:numId="9">
    <w:abstractNumId w:val="7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1938</Words>
  <Characters>2122</Characters>
  <Application>Microsoft Office Word</Application>
  <DocSecurity>0</DocSecurity>
  <Lines>0</Lines>
  <Paragraphs>0</Paragraphs>
  <ScaleCrop>false</ScaleCrop>
  <Company/>
  <LinksUpToDate>false</LinksUpToDate>
  <CharactersWithSpaces>2239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2025-12-02T11:15:25Z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