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93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4750"/>
      <w:r>
        <w:rPr>
          <w:rFonts w:hint="eastAsia"/>
          <w:lang w:val="en-US" w:eastAsia="zh-CN"/>
        </w:rPr>
        <w:t>运维服务技术研发规划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_Toc20938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运维服务技术研发规划</w:t>
          </w:r>
          <w:r>
            <w:tab/>
          </w:r>
          <w:r>
            <w:fldChar w:fldCharType="begin"/>
          </w:r>
          <w:r>
            <w:instrText xml:space="preserve"> PAGEREF _Toc4750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_Toc27868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_Toc32079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_Toc20046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研发目标</w:t>
          </w:r>
          <w:r>
            <w:tab/>
          </w:r>
          <w:r>
            <w:fldChar w:fldCharType="begin"/>
          </w:r>
          <w:r>
            <w:instrText xml:space="preserve"> PAGEREF _Toc29434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研发团队</w:t>
          </w:r>
          <w:r>
            <w:tab/>
          </w:r>
          <w:r>
            <w:fldChar w:fldCharType="begin"/>
          </w:r>
          <w:r>
            <w:instrText xml:space="preserve"> PAGEREF _Toc8687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_Toc21081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_Toc3243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</w:t>
          </w:r>
          <w:r>
            <w:tab/>
          </w:r>
          <w:r>
            <w:fldChar w:fldCharType="begin"/>
          </w:r>
          <w:r>
            <w:instrText xml:space="preserve"> PAGEREF _Toc12464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_Toc27297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_Toc11776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7868"/>
      <w:r>
        <w:rPr>
          <w:rFonts w:hint="default"/>
          <w:lang w:val="en-US" w:eastAsia="zh-CN"/>
        </w:rPr>
        <w:t>概述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本公司运维服务能力成熟度（ITSS三级）的认证与持续提升，特制定本研发规划。本项目旨在通过研发与部署禅道过程管理工具，构建一个统一、标准化的运维服务过程管理平台，实现对公司《运维服务过程框架管理制度》的线上化、精细化落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本规划的读者对象为：公司管理层、运维管理部、研发部、质量效能部、人力资源部、采购部及项目组全体成员。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2079"/>
      <w:r>
        <w:rPr>
          <w:rFonts w:hint="default"/>
          <w:lang w:val="en-US" w:eastAsia="zh-CN"/>
        </w:rPr>
        <w:t>总体规划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0046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9434"/>
      <w:r>
        <w:rPr>
          <w:rFonts w:hint="default"/>
          <w:lang w:val="en-US" w:eastAsia="zh-CN"/>
        </w:rPr>
        <w:t>研发目标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解决现有审批流程线下执行不透明、环节易遗漏、权责不清晰、效率低下且记录难以追溯的痛点。通过本次审批流定制，实现：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审批路径强制固化：将ITSS体系及公司管理制度所要求的关键审批流程（如变更审批、资源申请、预算批复等）在系统中进行唯一路径固化，确保任何操作都必须经过规定的审批环节，杜绝越权与违规。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流转条件自动驱动：配置基于业务规则的自动流转逻辑，实现任务在提交、驳回、转审等操作后，自动跳转至下一审批节点并通知对应审批人，大幅缩短等待时间。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审批权限精细管控：根据不同审批流程与环节，精确控制审批人角色的视图、操作与决策权限（如查看、通过、驳回、加签），确保权责对等与信息安全。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审批数据完整记录：为每一次审批提供不可篡改的全过程记录，包括审批人、时间、意见与结论，为服务审计、合规检查与效能分析提供真实、可信的数据基础。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8687"/>
      <w:r>
        <w:rPr>
          <w:rFonts w:hint="default"/>
          <w:lang w:val="en-US" w:eastAsia="zh-CN"/>
        </w:rPr>
        <w:t>研发团队</w:t>
      </w:r>
      <w:bookmarkEnd w:id="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根据公司发展需要，运维工具研发团队人员配置信息如表3-1所示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TableGrid"/>
        <w:tblW w:w="86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75"/>
        <w:gridCol w:w="5280"/>
      </w:tblGrid>
      <w:tr>
        <w:tblPrEx>
          <w:tblW w:w="86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收集、分析各运维管理部门需求，并生成需求报告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7" w:name="_Toc21081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环境需求表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001"/>
        <w:gridCol w:w="1959"/>
        <w:gridCol w:w="2126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8" w:name="_Toc3243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研发进度如表3-3所示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研发进度表</w:t>
      </w:r>
    </w:p>
    <w:tbl>
      <w:tblPr>
        <w:tblStyle w:val="TableGrid"/>
        <w:tblW w:w="89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498"/>
        <w:gridCol w:w="5788"/>
      </w:tblGrid>
      <w:tr>
        <w:tblPrEx>
          <w:tblW w:w="896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优先在运维管理部试运行，监测使用效果，提出改进意见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研发部对系统进行完售后正式上线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9" w:name="_Toc12464"/>
      <w:r>
        <w:rPr>
          <w:rFonts w:hint="eastAsia"/>
          <w:lang w:val="en-US" w:eastAsia="zh-CN"/>
        </w:rPr>
        <w:t>运维服务手册研发</w:t>
      </w:r>
      <w:bookmarkEnd w:id="9"/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运维手册研发计划表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0" w:name="_Toc27297"/>
      <w:r>
        <w:rPr>
          <w:rFonts w:hint="eastAsia"/>
          <w:lang w:val="en-US" w:eastAsia="zh-CN"/>
        </w:rPr>
        <w:t>研发经费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bookmarkStart w:id="11" w:name="_GoBack"/>
      <w:bookmarkEnd w:id="11"/>
      <w:r>
        <w:rPr>
          <w:rFonts w:hint="eastAsia"/>
          <w:lang w:val="en-US" w:eastAsia="zh-CN"/>
        </w:rPr>
        <w:t>研发经费投入表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2" w:name="_Toc11776"/>
      <w:bookmarkStart w:id="13" w:name="_Toc14087"/>
      <w:r>
        <w:rPr>
          <w:rFonts w:hint="eastAsia"/>
          <w:lang w:val="en-US" w:eastAsia="zh-CN"/>
        </w:rPr>
        <w:t>新技术研发</w:t>
      </w:r>
      <w:bookmarkEnd w:id="12"/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为构建公司未来的技术竞争力，本规划在夯实流程化管理的基础上，同步启动新技术的预研工作。本轮研究将聚焦于运维自动化与智能化，旨在从“被动响应”向“主动预防”演进。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研究内容与目标：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探索AIOps智能运维与可观测性技术栈。计划在2025年第四季度，基于开源技术搭建原型系统，实现智能告警收敛与自动化故障处理的初步能力，并与禅道流程平台进行集成验证。此举旨在提升运维效率，并为公司积累智能运维领域的核心技术与人才储备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EFE97EC"/>
    <w:multiLevelType w:val="singleLevel"/>
    <w:tmpl w:val="EEFE97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320EFE"/>
    <w:multiLevelType w:val="singleLevel"/>
    <w:tmpl w:val="29320E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1740</Words>
  <Characters>1941</Characters>
  <Application>Microsoft Office Word</Application>
  <DocSecurity>0</DocSecurity>
  <Lines>0</Lines>
  <Paragraphs>0</Paragraphs>
  <ScaleCrop>false</ScaleCrop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