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29E9A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1412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748DAC1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30353"/>
      <w:r>
        <w:rPr>
          <w:rFonts w:hint="eastAsia"/>
          <w:lang w:val="en-US" w:eastAsia="zh-CN"/>
        </w:rPr>
        <w:t>供应商管理制度</w:t>
      </w:r>
      <w:bookmarkEnd w:id="1"/>
    </w:p>
    <w:p w14:paraId="5C099DD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3D5F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189F1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 w14:paraId="08D97C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8EE9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6661B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CB01B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0D71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4E75C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08EB87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02A197B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BC0398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436CDD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1476E6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11875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975446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25011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DEB27C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371458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334E1F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6F595A2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5878AB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4F25F1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7B6356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69FA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BB484B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19A3BE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64F20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BC2285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250476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B1366C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9BAD9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790127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2CBDAC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D617A5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162D4A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09BBE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FB18CF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9E3E8F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E8B148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_Toc11412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C1E8F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_Toc30353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供应商管理制度</w:t>
          </w:r>
          <w:r>
            <w:tab/>
          </w:r>
          <w:r>
            <w:fldChar w:fldCharType="begin"/>
          </w:r>
          <w:r>
            <w:instrText xml:space="preserve"> PAGEREF _Toc30353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40E42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_Toc26893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_Toc26893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41811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_Toc32748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_Toc32748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E72B2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_Toc4421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_Toc4421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EB5DB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_Toc14475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BE6A0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_Toc22843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引用依据与关联文件</w:t>
          </w:r>
          <w:r>
            <w:tab/>
          </w:r>
          <w:r>
            <w:fldChar w:fldCharType="begin"/>
          </w:r>
          <w:r>
            <w:instrText xml:space="preserve"> PAGEREF _Toc22843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0CBCF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组织与职责</w:t>
          </w:r>
          <w:r>
            <w:tab/>
          </w:r>
          <w:r>
            <w:fldChar w:fldCharType="begin"/>
          </w:r>
          <w:r>
            <w:instrText xml:space="preserve"> PAGEREF _Toc31317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982C4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采购部</w:t>
          </w:r>
          <w:r>
            <w:tab/>
          </w:r>
          <w:r>
            <w:fldChar w:fldCharType="begin"/>
          </w:r>
          <w:r>
            <w:instrText xml:space="preserve"> PAGEREF _Toc31095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4F444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_Toc20717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运维管理部</w:t>
          </w:r>
          <w:r>
            <w:tab/>
          </w:r>
          <w:r>
            <w:fldChar w:fldCharType="begin"/>
          </w:r>
          <w:r>
            <w:instrText xml:space="preserve"> PAGEREF _Toc20717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08398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研发部</w:t>
          </w:r>
          <w:r>
            <w:tab/>
          </w:r>
          <w:r>
            <w:fldChar w:fldCharType="begin"/>
          </w:r>
          <w:r>
            <w:instrText xml:space="preserve"> PAGEREF _Toc5990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8FBA3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质量效能部：</w:t>
          </w:r>
          <w:r>
            <w:tab/>
          </w:r>
          <w:r>
            <w:fldChar w:fldCharType="begin"/>
          </w:r>
          <w:r>
            <w:instrText xml:space="preserve"> PAGEREF _Toc15129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8E4AE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供应商全生命周期管理流程</w:t>
          </w:r>
          <w:r>
            <w:tab/>
          </w:r>
          <w:r>
            <w:fldChar w:fldCharType="begin"/>
          </w:r>
          <w:r>
            <w:instrText xml:space="preserve"> PAGEREF _Toc4506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F9744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_Toc5243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供应商开发与准入</w:t>
          </w:r>
          <w:r>
            <w:tab/>
          </w:r>
          <w:r>
            <w:fldChar w:fldCharType="begin"/>
          </w:r>
          <w:r>
            <w:instrText xml:space="preserve"> PAGEREF _Toc5243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608B3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采购与合同签订</w:t>
          </w:r>
          <w:r>
            <w:tab/>
          </w:r>
          <w:r>
            <w:fldChar w:fldCharType="begin"/>
          </w:r>
          <w:r>
            <w:instrText xml:space="preserve"> PAGEREF _Toc22297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13935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供应商绩效评价</w:t>
          </w:r>
          <w:r>
            <w:tab/>
          </w:r>
          <w:r>
            <w:fldChar w:fldCharType="begin"/>
          </w:r>
          <w:r>
            <w:instrText xml:space="preserve"> PAGEREF _Toc21035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7135E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供应商激励与改进</w:t>
          </w:r>
          <w:r>
            <w:tab/>
          </w:r>
          <w:r>
            <w:fldChar w:fldCharType="begin"/>
          </w:r>
          <w:r>
            <w:instrText xml:space="preserve"> PAGEREF _Toc27170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A4065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_Toc20711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供应商退出</w:t>
          </w:r>
          <w:r>
            <w:tab/>
          </w:r>
          <w:r>
            <w:fldChar w:fldCharType="begin"/>
          </w:r>
          <w:r>
            <w:instrText xml:space="preserve"> PAGEREF _Toc20711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857DA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风险管理</w:t>
          </w:r>
          <w:r>
            <w:tab/>
          </w:r>
          <w:r>
            <w:fldChar w:fldCharType="begin"/>
          </w:r>
          <w:r>
            <w:instrText xml:space="preserve"> PAGEREF _Toc29196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3FAF3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_Toc10738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9BC3E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E0794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E7F61AB">
      <w:pPr>
        <w:pStyle w:val="28"/>
        <w:bidi w:val="0"/>
        <w:rPr>
          <w:rFonts w:hint="default"/>
          <w:lang w:val="en-US" w:eastAsia="zh-CN"/>
        </w:rPr>
      </w:pPr>
      <w:bookmarkStart w:id="2" w:name="_Toc26893"/>
      <w:r>
        <w:rPr>
          <w:rFonts w:hint="default"/>
          <w:lang w:val="en-US" w:eastAsia="zh-CN"/>
        </w:rPr>
        <w:t>总则</w:t>
      </w:r>
      <w:bookmarkEnd w:id="2"/>
    </w:p>
    <w:p w14:paraId="6FB34317">
      <w:pPr>
        <w:pStyle w:val="30"/>
        <w:bidi w:val="0"/>
        <w:rPr>
          <w:rFonts w:hint="default"/>
          <w:lang w:val="en-US" w:eastAsia="zh-CN"/>
        </w:rPr>
      </w:pPr>
      <w:bookmarkStart w:id="3" w:name="_Toc32748"/>
      <w:r>
        <w:rPr>
          <w:rFonts w:hint="default"/>
          <w:lang w:val="en-US" w:eastAsia="zh-CN"/>
        </w:rPr>
        <w:t>目的</w:t>
      </w:r>
      <w:bookmarkEnd w:id="3"/>
    </w:p>
    <w:p w14:paraId="653948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北京新都远景网络技术有限公司（以下简称“公司”）对供应商的开发、选择、评价与管理流程，确保供应商提供的产品、服务符合公司项目交付、质量、成本及信息安全要求，支撑公司业务持续稳定发展，特制定本制度。</w:t>
      </w:r>
    </w:p>
    <w:p w14:paraId="6D267447">
      <w:pPr>
        <w:pStyle w:val="30"/>
        <w:bidi w:val="0"/>
        <w:rPr>
          <w:rFonts w:hint="default"/>
          <w:lang w:val="en-US" w:eastAsia="zh-CN"/>
        </w:rPr>
      </w:pPr>
      <w:bookmarkStart w:id="4" w:name="_Toc4421"/>
      <w:r>
        <w:rPr>
          <w:rFonts w:hint="default"/>
          <w:lang w:val="en-US" w:eastAsia="zh-CN"/>
        </w:rPr>
        <w:t>适用范围</w:t>
      </w:r>
      <w:bookmarkEnd w:id="4"/>
    </w:p>
    <w:p w14:paraId="522958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本制度适用于为公司各类项目（如运维服务、软件开发、系统集成）提供产品（包括软件、硬件、备品备件）与服务的所有供应商的全生命周期管理。</w:t>
      </w:r>
    </w:p>
    <w:p w14:paraId="74ECCB46">
      <w:pPr>
        <w:pStyle w:val="30"/>
        <w:bidi w:val="0"/>
        <w:rPr>
          <w:rFonts w:hint="default"/>
          <w:lang w:val="en-US" w:eastAsia="zh-CN"/>
        </w:rPr>
      </w:pPr>
      <w:bookmarkStart w:id="5" w:name="_Toc14475"/>
      <w:r>
        <w:rPr>
          <w:rFonts w:hint="default"/>
          <w:lang w:val="en-US" w:eastAsia="zh-CN"/>
        </w:rPr>
        <w:t>原则</w:t>
      </w:r>
      <w:bookmarkEnd w:id="5"/>
    </w:p>
    <w:p w14:paraId="23CBE0C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战略协同原则： 选择与公司长期发展战略相匹配的供应商。</w:t>
      </w:r>
    </w:p>
    <w:p w14:paraId="2A3D6D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质量优先原则： 供应商提供的产品或服务必须满足公司与客户约定的质量标准。</w:t>
      </w:r>
    </w:p>
    <w:p w14:paraId="230ECF1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公开、公平、公正原则： 采购过程应透明，避免不正当竞争。</w:t>
      </w:r>
    </w:p>
    <w:p w14:paraId="37946FA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合作共赢原则： 发展与核心供应商的长期稳定合作关系，实现共同成长。</w:t>
      </w:r>
    </w:p>
    <w:p w14:paraId="132E151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风险控制原则： 对供应商进行持续的风险评估与监控。</w:t>
      </w:r>
    </w:p>
    <w:p w14:paraId="12E69B9B">
      <w:pPr>
        <w:pStyle w:val="28"/>
        <w:bidi w:val="0"/>
        <w:rPr>
          <w:rFonts w:hint="default"/>
          <w:lang w:val="en-US" w:eastAsia="zh-CN"/>
        </w:rPr>
      </w:pPr>
      <w:bookmarkStart w:id="6" w:name="_Toc22843"/>
      <w:r>
        <w:rPr>
          <w:rFonts w:hint="default"/>
          <w:lang w:val="en-US" w:eastAsia="zh-CN"/>
        </w:rPr>
        <w:t>引用依据与关联文件</w:t>
      </w:r>
      <w:bookmarkEnd w:id="6"/>
    </w:p>
    <w:p w14:paraId="4C2235A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《中华人民共和国招标投标法》</w:t>
      </w:r>
    </w:p>
    <w:p w14:paraId="73C0861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《中华人民共和国合同法》</w:t>
      </w:r>
    </w:p>
    <w:p w14:paraId="36B59586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28827.1</w:t>
      </w:r>
      <w:r>
        <w:rPr>
          <w:rFonts w:hint="eastAsia"/>
          <w:lang w:val="en-US" w:eastAsia="zh-CN"/>
        </w:rPr>
        <w:t>-2022</w:t>
      </w:r>
      <w:r>
        <w:rPr>
          <w:rFonts w:hint="default"/>
          <w:lang w:val="en-US" w:eastAsia="zh-CN"/>
        </w:rPr>
        <w:t>《信息技术服务 运行维护 第1部分：通用要求》</w:t>
      </w:r>
    </w:p>
    <w:p w14:paraId="018D337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公司《备件库管理制度》</w:t>
      </w:r>
    </w:p>
    <w:p w14:paraId="26C05DDD">
      <w:pPr>
        <w:pStyle w:val="28"/>
        <w:bidi w:val="0"/>
        <w:rPr>
          <w:rFonts w:hint="default"/>
          <w:lang w:val="en-US" w:eastAsia="zh-CN"/>
        </w:rPr>
      </w:pPr>
      <w:bookmarkStart w:id="7" w:name="_Toc31317"/>
      <w:r>
        <w:rPr>
          <w:rFonts w:hint="default"/>
          <w:lang w:val="en-US" w:eastAsia="zh-CN"/>
        </w:rPr>
        <w:t>组织与职责</w:t>
      </w:r>
      <w:bookmarkEnd w:id="7"/>
    </w:p>
    <w:p w14:paraId="51CDDE4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依据《人员岗位说明书》，明确供应商管理各相关方职责：</w:t>
      </w:r>
    </w:p>
    <w:p w14:paraId="1AB53CFD">
      <w:pPr>
        <w:pStyle w:val="30"/>
        <w:bidi w:val="0"/>
        <w:rPr>
          <w:rFonts w:hint="default"/>
          <w:lang w:val="en-US" w:eastAsia="zh-CN"/>
        </w:rPr>
      </w:pPr>
      <w:bookmarkStart w:id="8" w:name="_Toc31095"/>
      <w:r>
        <w:rPr>
          <w:rFonts w:hint="default"/>
          <w:lang w:val="en-US" w:eastAsia="zh-CN"/>
        </w:rPr>
        <w:t>采购部</w:t>
      </w:r>
      <w:bookmarkEnd w:id="8"/>
    </w:p>
    <w:p w14:paraId="3E15E7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作为供应商管理的归口部门，负责组织供应商的开发、调查、准入、年度评价与退出。</w:t>
      </w:r>
    </w:p>
    <w:p w14:paraId="10FDAB2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采购专员负责具体执行供应商寻源、资质初审、日常沟通、合同签订及履行跟进。</w:t>
      </w:r>
    </w:p>
    <w:p w14:paraId="6821B20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采购部经理负责审核《合格供方名录》、审批采购策略及重大采购合同。</w:t>
      </w:r>
    </w:p>
    <w:p w14:paraId="138914D6">
      <w:pPr>
        <w:pStyle w:val="30"/>
        <w:bidi w:val="0"/>
        <w:rPr>
          <w:rFonts w:hint="default"/>
          <w:lang w:val="en-US" w:eastAsia="zh-CN"/>
        </w:rPr>
      </w:pPr>
      <w:bookmarkStart w:id="9" w:name="_Toc20717"/>
      <w:r>
        <w:rPr>
          <w:rFonts w:hint="default"/>
          <w:lang w:val="en-US" w:eastAsia="zh-CN"/>
        </w:rPr>
        <w:t>运维管理部</w:t>
      </w:r>
      <w:bookmarkEnd w:id="9"/>
    </w:p>
    <w:p w14:paraId="17AE5FF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提出对运维相关产品及服务的具体技术、质量及服务响应要求。</w:t>
      </w:r>
    </w:p>
    <w:p w14:paraId="332E835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参与对供应商技术方案、服务能力的评估。</w:t>
      </w:r>
    </w:p>
    <w:p w14:paraId="3A339FA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反馈供应商在产品交付、现场服务、备件供应（依据《备件库管理制度》）等方面的履约表现。</w:t>
      </w:r>
    </w:p>
    <w:p w14:paraId="04BD512F">
      <w:pPr>
        <w:pStyle w:val="30"/>
        <w:bidi w:val="0"/>
        <w:rPr>
          <w:rFonts w:hint="default"/>
          <w:lang w:val="en-US" w:eastAsia="zh-CN"/>
        </w:rPr>
      </w:pPr>
      <w:bookmarkStart w:id="10" w:name="_Toc5990"/>
      <w:r>
        <w:rPr>
          <w:rFonts w:hint="default"/>
          <w:lang w:val="en-US" w:eastAsia="zh-CN"/>
        </w:rPr>
        <w:t>研发部</w:t>
      </w:r>
      <w:bookmarkEnd w:id="10"/>
    </w:p>
    <w:p w14:paraId="479DD05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提出软件开发、技术组件采购的技术标准和需求。</w:t>
      </w:r>
    </w:p>
    <w:p w14:paraId="5580652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参与对软件类、技术服务类供应商的技术评估与验收。</w:t>
      </w:r>
    </w:p>
    <w:p w14:paraId="3F0F3267">
      <w:pPr>
        <w:pStyle w:val="30"/>
        <w:bidi w:val="0"/>
        <w:rPr>
          <w:rFonts w:hint="default"/>
          <w:lang w:val="en-US" w:eastAsia="zh-CN"/>
        </w:rPr>
      </w:pPr>
      <w:bookmarkStart w:id="11" w:name="_Toc15129"/>
      <w:r>
        <w:rPr>
          <w:rFonts w:hint="default"/>
          <w:lang w:val="en-US" w:eastAsia="zh-CN"/>
        </w:rPr>
        <w:t>质量效能部：</w:t>
      </w:r>
      <w:bookmarkEnd w:id="11"/>
    </w:p>
    <w:p w14:paraId="0A5756A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负责对供应商提供的产品进行到货检验（参照《备件库管理制度》4.6条款）。</w:t>
      </w:r>
    </w:p>
    <w:p w14:paraId="162269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参与供应商质量保证体系的评估。</w:t>
      </w:r>
    </w:p>
    <w:p w14:paraId="32F7F91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监控和分析供应商交付物或服务的质量数据。</w:t>
      </w:r>
    </w:p>
    <w:p w14:paraId="032D595A">
      <w:pPr>
        <w:pStyle w:val="28"/>
        <w:bidi w:val="0"/>
        <w:rPr>
          <w:rFonts w:hint="default"/>
          <w:lang w:val="en-US" w:eastAsia="zh-CN"/>
        </w:rPr>
      </w:pPr>
      <w:bookmarkStart w:id="12" w:name="_Toc4506"/>
      <w:r>
        <w:rPr>
          <w:rFonts w:hint="default"/>
          <w:lang w:val="en-US" w:eastAsia="zh-CN"/>
        </w:rPr>
        <w:t>供应商全生命周期管理流程</w:t>
      </w:r>
      <w:bookmarkEnd w:id="12"/>
    </w:p>
    <w:p w14:paraId="123D48CD">
      <w:pPr>
        <w:pStyle w:val="30"/>
        <w:bidi w:val="0"/>
        <w:rPr>
          <w:rFonts w:hint="default"/>
          <w:lang w:val="en-US" w:eastAsia="zh-CN"/>
        </w:rPr>
      </w:pPr>
      <w:bookmarkStart w:id="13" w:name="_Toc5243"/>
      <w:r>
        <w:rPr>
          <w:rFonts w:hint="default"/>
          <w:lang w:val="en-US" w:eastAsia="zh-CN"/>
        </w:rPr>
        <w:t>供应商开发与准入</w:t>
      </w:r>
      <w:bookmarkEnd w:id="13"/>
    </w:p>
    <w:p w14:paraId="365EFA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需求提出：业务部门（如运维管理部、研发部）根据项目或维护需要，提出明确的采购需求。</w:t>
      </w:r>
    </w:p>
    <w:p w14:paraId="7FD898D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寻源与调查：采购专员负责市场寻源，收集潜在供应商信息，并组织进行初步调查，填写《潜在供应商调查表》，内容应包括但不限于：工商资质、财务状况、技术能力、主要客户案例、质量与环境管理体系认证等。</w:t>
      </w:r>
    </w:p>
    <w:p w14:paraId="1E94383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评估与审批：采购部组织由需求部门、质量效能部、技术部门组成的评估小组，对潜在供应商进行综合评估。评估通过后，由采购部经理审批，纳入《合格供方名录》。</w:t>
      </w:r>
    </w:p>
    <w:p w14:paraId="20048E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名录管理：《合格供方名录》为动态文件，由采购部负责维护与定期更新。</w:t>
      </w:r>
    </w:p>
    <w:p w14:paraId="1A822B7A">
      <w:pPr>
        <w:pStyle w:val="30"/>
        <w:bidi w:val="0"/>
        <w:rPr>
          <w:rFonts w:hint="default"/>
          <w:lang w:val="en-US" w:eastAsia="zh-CN"/>
        </w:rPr>
      </w:pPr>
      <w:bookmarkStart w:id="14" w:name="_Toc22297"/>
      <w:r>
        <w:rPr>
          <w:rFonts w:hint="default"/>
          <w:lang w:val="en-US" w:eastAsia="zh-CN"/>
        </w:rPr>
        <w:t>采购与合同签订</w:t>
      </w:r>
      <w:bookmarkEnd w:id="14"/>
    </w:p>
    <w:p w14:paraId="6E8DDB2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采购实施：对于通用、标准产品或服务，可从《合格供方名录》中直接选择或进行比价、议价。对于重大项目或关键物资，应按照公司规定进行招标或竞争性谈判。</w:t>
      </w:r>
    </w:p>
    <w:p w14:paraId="0605064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合同管理：采购合同或技术协议应明确约定产品/服务规格、质量标准、交付时间、价格、付款方式、验收标准、售后服务、违约责任、保密及知识产权条款等。合同签订权限参照公司《采购合同管理办法》。</w:t>
      </w:r>
    </w:p>
    <w:p w14:paraId="1574A5E0">
      <w:pPr>
        <w:pStyle w:val="30"/>
        <w:bidi w:val="0"/>
        <w:rPr>
          <w:rFonts w:hint="default"/>
          <w:lang w:val="en-US" w:eastAsia="zh-CN"/>
        </w:rPr>
      </w:pPr>
      <w:bookmarkStart w:id="15" w:name="_Toc21035"/>
      <w:r>
        <w:rPr>
          <w:rFonts w:hint="default"/>
          <w:lang w:val="en-US" w:eastAsia="zh-CN"/>
        </w:rPr>
        <w:t>供应商绩效评价</w:t>
      </w:r>
      <w:bookmarkEnd w:id="15"/>
    </w:p>
    <w:p w14:paraId="1439D09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日常评价：各相关部门记录供应商在订单交付、产品质量、服务质量、问题响应、备件供应（依据《备件库管理制度》4.5响应级别）等方面的表现。</w:t>
      </w:r>
    </w:p>
    <w:p w14:paraId="1C02E85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定期评价：采购部每年至少组织一次对合格供应商的定期综合评价，评价维度应包括：</w:t>
      </w:r>
    </w:p>
    <w:p w14:paraId="7B485B7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质量：到货合格率、故障率、问题解决有效性。</w:t>
      </w:r>
    </w:p>
    <w:p w14:paraId="575A5F9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交付：准时交付率、备件响应及时性。</w:t>
      </w:r>
    </w:p>
    <w:p w14:paraId="5C4E223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服务：技术支持、沟通配合度。</w:t>
      </w:r>
    </w:p>
    <w:p w14:paraId="131A6D2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成本：价格竞争力、性价比。</w:t>
      </w:r>
    </w:p>
    <w:p w14:paraId="71981D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评价分级：</w:t>
      </w:r>
      <w:bookmarkStart w:id="20" w:name="_GoBack"/>
      <w:bookmarkEnd w:id="20"/>
      <w:r>
        <w:rPr>
          <w:rFonts w:hint="default"/>
          <w:lang w:val="en-US" w:eastAsia="zh-CN"/>
        </w:rPr>
        <w:t>根据评价结果，将供应商划分为 A（优秀）、B（合格）、C（待观察）、D（不合格） 四个等级。</w:t>
      </w:r>
    </w:p>
    <w:p w14:paraId="333C9892">
      <w:pPr>
        <w:pStyle w:val="30"/>
        <w:bidi w:val="0"/>
        <w:rPr>
          <w:rFonts w:hint="default"/>
          <w:lang w:val="en-US" w:eastAsia="zh-CN"/>
        </w:rPr>
      </w:pPr>
      <w:bookmarkStart w:id="16" w:name="_Toc27170"/>
      <w:r>
        <w:rPr>
          <w:rFonts w:hint="default"/>
          <w:lang w:val="en-US" w:eastAsia="zh-CN"/>
        </w:rPr>
        <w:t>供应商激励与改进</w:t>
      </w:r>
      <w:bookmarkEnd w:id="16"/>
    </w:p>
    <w:p w14:paraId="31B54D1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A级供应商：可优先获得合作机会，考虑发展为战略合作伙伴。</w:t>
      </w:r>
    </w:p>
    <w:p w14:paraId="223D425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B级供应商：维持正常合作关系。</w:t>
      </w:r>
    </w:p>
    <w:p w14:paraId="65FE7E4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C级供应商：采购部需向其发出书面改进通知，限期整改，并减少订单份额。</w:t>
      </w:r>
    </w:p>
    <w:p w14:paraId="57AF142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D级供应商：启动退出程序。</w:t>
      </w:r>
    </w:p>
    <w:p w14:paraId="11E20D1E">
      <w:pPr>
        <w:pStyle w:val="30"/>
        <w:bidi w:val="0"/>
        <w:rPr>
          <w:rFonts w:hint="default"/>
          <w:lang w:val="en-US" w:eastAsia="zh-CN"/>
        </w:rPr>
      </w:pPr>
      <w:bookmarkStart w:id="17" w:name="_Toc20711"/>
      <w:r>
        <w:rPr>
          <w:rFonts w:hint="default"/>
          <w:lang w:val="en-US" w:eastAsia="zh-CN"/>
        </w:rPr>
        <w:t>供应商退出</w:t>
      </w:r>
      <w:bookmarkEnd w:id="17"/>
    </w:p>
    <w:p w14:paraId="0DC2CA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发生以下情况之一，经审批后，供应商应从《合格供方名录》中移除：</w:t>
      </w:r>
    </w:p>
    <w:p w14:paraId="2D4CD966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经评价为D级且整改无效。</w:t>
      </w:r>
    </w:p>
    <w:p w14:paraId="7BD17842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提供虚假资质或信息。</w:t>
      </w:r>
    </w:p>
    <w:p w14:paraId="5DEA43C9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出现重大质量问题、交付延迟，对公司项目造成严重影响。</w:t>
      </w:r>
    </w:p>
    <w:p w14:paraId="2EF40205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违反合同关键条款（如保密协议）。</w:t>
      </w:r>
    </w:p>
    <w:p w14:paraId="28A31904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公司业务战略调整。</w:t>
      </w:r>
    </w:p>
    <w:p w14:paraId="35B029A2">
      <w:pPr>
        <w:pStyle w:val="28"/>
        <w:bidi w:val="0"/>
        <w:rPr>
          <w:rFonts w:hint="default"/>
          <w:lang w:val="en-US" w:eastAsia="zh-CN"/>
        </w:rPr>
      </w:pPr>
      <w:bookmarkStart w:id="18" w:name="_Toc29196"/>
      <w:r>
        <w:rPr>
          <w:rFonts w:hint="default"/>
          <w:lang w:val="en-US" w:eastAsia="zh-CN"/>
        </w:rPr>
        <w:t>风险管理</w:t>
      </w:r>
      <w:bookmarkEnd w:id="18"/>
    </w:p>
    <w:p w14:paraId="04CC0F4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采购部应建立供应商风险档案，关注其经营状况、行业政策等变化。</w:t>
      </w:r>
    </w:p>
    <w:p w14:paraId="7B03A6D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对于提供关键产品或服务的核心供应商，应制定备选方案，以降低供应中断风险。</w:t>
      </w:r>
    </w:p>
    <w:p w14:paraId="60A66A0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所有供应商须与公司签订《保密协议》，以保护公司及客户信息安全。</w:t>
      </w:r>
    </w:p>
    <w:p w14:paraId="02D24769">
      <w:pPr>
        <w:pStyle w:val="28"/>
        <w:bidi w:val="0"/>
        <w:rPr>
          <w:rFonts w:hint="default"/>
          <w:lang w:val="en-US" w:eastAsia="zh-CN"/>
        </w:rPr>
      </w:pPr>
      <w:bookmarkStart w:id="19" w:name="_Toc10738"/>
      <w:r>
        <w:rPr>
          <w:rFonts w:hint="default"/>
          <w:lang w:val="en-US" w:eastAsia="zh-CN"/>
        </w:rPr>
        <w:t>附则</w:t>
      </w:r>
      <w:bookmarkEnd w:id="19"/>
    </w:p>
    <w:p w14:paraId="5AE915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本制度由采购部负责解释与修订。</w:t>
      </w:r>
    </w:p>
    <w:p w14:paraId="5749198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本制度自发布之日起生效，公司原有相关规定与本制度不一致的，以本制度为准。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7BE1DB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0CF2C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E412123"/>
    <w:multiLevelType w:val="singleLevel"/>
    <w:tmpl w:val="BE4121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527A3F5"/>
    <w:multiLevelType w:val="singleLevel"/>
    <w:tmpl w:val="2527A3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F76805"/>
    <w:rsid w:val="018362EB"/>
    <w:rsid w:val="030D0562"/>
    <w:rsid w:val="08557E3A"/>
    <w:rsid w:val="098B21E0"/>
    <w:rsid w:val="0A326F9F"/>
    <w:rsid w:val="0ADA2B09"/>
    <w:rsid w:val="1B2E0937"/>
    <w:rsid w:val="224E080E"/>
    <w:rsid w:val="22B81E40"/>
    <w:rsid w:val="2F4B7B98"/>
    <w:rsid w:val="3C6B2097"/>
    <w:rsid w:val="5AC926AE"/>
    <w:rsid w:val="64E5191A"/>
    <w:rsid w:val="686B0388"/>
    <w:rsid w:val="69174057"/>
    <w:rsid w:val="6F481423"/>
    <w:rsid w:val="7730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2004</Words>
  <Characters>2119</Characters>
  <Lines>0</Lines>
  <Paragraphs>0</Paragraphs>
  <TotalTime>0</TotalTime>
  <ScaleCrop>false</ScaleCrop>
  <LinksUpToDate>false</LinksUpToDate>
  <CharactersWithSpaces>2431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2026-01-16T15:42:16Z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