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29E9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4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748DAC1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96"/>
      <w:r>
        <w:rPr>
          <w:rFonts w:hint="eastAsia"/>
          <w:lang w:val="en-US" w:eastAsia="zh-CN"/>
        </w:rPr>
        <w:t>运维服务工具管理制度</w:t>
      </w:r>
      <w:bookmarkEnd w:id="1"/>
    </w:p>
    <w:p w14:paraId="5C099DD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D5F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189F1C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08D97C4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8EE9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6661B42">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CB01B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0D71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4E75C9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08EB87E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2A197B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BC03980">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436CD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476E610">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1187577">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975446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250113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DEB2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71458A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334E1F1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F595A2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5878ABD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4F25F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7B6356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69FA4D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BB484B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9A3BE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64F20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jc w:val="center"/>
        </w:trPr>
        <w:tc>
          <w:tcPr>
            <w:tcW w:w="2689" w:type="dxa"/>
          </w:tcPr>
          <w:p w14:paraId="3BC228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250476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B1366C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9BAD93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79012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2CBDAC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D617A5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162D4A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09BBE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FB18CF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9E3E8F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880E96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_Toc7240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_Toc7240 \h </w:instrText>
          </w:r>
          <w:r>
            <w:fldChar w:fldCharType="separate"/>
          </w:r>
          <w:r>
            <w:t>1</w:t>
          </w:r>
          <w:r>
            <w:fldChar w:fldCharType="end"/>
          </w:r>
          <w:r>
            <w:rPr>
              <w:rFonts w:hint="eastAsia" w:ascii="宋体" w:hAnsi="宋体" w:eastAsia="宋体" w:cs="宋体"/>
              <w:szCs w:val="24"/>
            </w:rPr>
            <w:fldChar w:fldCharType="end"/>
          </w:r>
        </w:p>
        <w:p w14:paraId="7684F7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_Toc21796 </w:instrText>
          </w:r>
          <w:r>
            <w:rPr>
              <w:rFonts w:hint="eastAsia" w:ascii="宋体" w:hAnsi="宋体" w:eastAsia="宋体" w:cs="宋体"/>
              <w:szCs w:val="24"/>
            </w:rPr>
            <w:fldChar w:fldCharType="separate"/>
          </w:r>
          <w:r>
            <w:rPr>
              <w:rFonts w:hint="eastAsia"/>
              <w:lang w:val="en-US" w:eastAsia="zh-CN"/>
            </w:rPr>
            <w:t>运维服务工具管理制度</w:t>
          </w:r>
          <w:r>
            <w:tab/>
          </w:r>
          <w:r>
            <w:fldChar w:fldCharType="begin"/>
          </w:r>
          <w:r>
            <w:instrText xml:space="preserve"> PAGEREF _Toc21796 \h </w:instrText>
          </w:r>
          <w:r>
            <w:fldChar w:fldCharType="separate"/>
          </w:r>
          <w:r>
            <w:t>1</w:t>
          </w:r>
          <w:r>
            <w:fldChar w:fldCharType="end"/>
          </w:r>
          <w:r>
            <w:rPr>
              <w:rFonts w:hint="eastAsia" w:ascii="宋体" w:hAnsi="宋体" w:eastAsia="宋体" w:cs="宋体"/>
              <w:szCs w:val="24"/>
            </w:rPr>
            <w:fldChar w:fldCharType="end"/>
          </w:r>
        </w:p>
        <w:p w14:paraId="496340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_Toc28490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_Toc28490 \h </w:instrText>
          </w:r>
          <w:r>
            <w:fldChar w:fldCharType="separate"/>
          </w:r>
          <w:r>
            <w:t>4</w:t>
          </w:r>
          <w:r>
            <w:fldChar w:fldCharType="end"/>
          </w:r>
          <w:r>
            <w:rPr>
              <w:rFonts w:hint="eastAsia" w:ascii="宋体" w:hAnsi="宋体" w:eastAsia="宋体" w:cs="宋体"/>
              <w:szCs w:val="24"/>
            </w:rPr>
            <w:fldChar w:fldCharType="end"/>
          </w:r>
        </w:p>
        <w:p w14:paraId="3F0759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_Toc1628 \h </w:instrText>
          </w:r>
          <w:r>
            <w:fldChar w:fldCharType="separate"/>
          </w:r>
          <w:r>
            <w:t>4</w:t>
          </w:r>
          <w:r>
            <w:fldChar w:fldCharType="end"/>
          </w:r>
          <w:r>
            <w:rPr>
              <w:rFonts w:hint="eastAsia" w:ascii="宋体" w:hAnsi="宋体" w:eastAsia="宋体" w:cs="宋体"/>
              <w:szCs w:val="24"/>
            </w:rPr>
            <w:fldChar w:fldCharType="end"/>
          </w:r>
        </w:p>
        <w:p w14:paraId="618CE1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_Toc13705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_Toc13705 \h </w:instrText>
          </w:r>
          <w:r>
            <w:fldChar w:fldCharType="separate"/>
          </w:r>
          <w:r>
            <w:t>4</w:t>
          </w:r>
          <w:r>
            <w:fldChar w:fldCharType="end"/>
          </w:r>
          <w:r>
            <w:rPr>
              <w:rFonts w:hint="eastAsia" w:ascii="宋体" w:hAnsi="宋体" w:eastAsia="宋体" w:cs="宋体"/>
              <w:szCs w:val="24"/>
            </w:rPr>
            <w:fldChar w:fldCharType="end"/>
          </w:r>
        </w:p>
        <w:p w14:paraId="16C60F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_Toc7177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_Toc7177 \h </w:instrText>
          </w:r>
          <w:r>
            <w:fldChar w:fldCharType="separate"/>
          </w:r>
          <w:r>
            <w:t>4</w:t>
          </w:r>
          <w:r>
            <w:fldChar w:fldCharType="end"/>
          </w:r>
          <w:r>
            <w:rPr>
              <w:rFonts w:hint="eastAsia" w:ascii="宋体" w:hAnsi="宋体" w:eastAsia="宋体" w:cs="宋体"/>
              <w:szCs w:val="24"/>
            </w:rPr>
            <w:fldChar w:fldCharType="end"/>
          </w:r>
        </w:p>
        <w:p w14:paraId="6AB6A5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_Toc22751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_Toc22751 \h </w:instrText>
          </w:r>
          <w:r>
            <w:fldChar w:fldCharType="separate"/>
          </w:r>
          <w:r>
            <w:t>4</w:t>
          </w:r>
          <w:r>
            <w:fldChar w:fldCharType="end"/>
          </w:r>
          <w:r>
            <w:rPr>
              <w:rFonts w:hint="eastAsia" w:ascii="宋体" w:hAnsi="宋体" w:eastAsia="宋体" w:cs="宋体"/>
              <w:szCs w:val="24"/>
            </w:rPr>
            <w:fldChar w:fldCharType="end"/>
          </w:r>
        </w:p>
        <w:p w14:paraId="13C3D7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_Toc11273 </w:instrText>
          </w:r>
          <w:r>
            <w:rPr>
              <w:rFonts w:hint="eastAsia" w:ascii="宋体" w:hAnsi="宋体" w:eastAsia="宋体" w:cs="宋体"/>
              <w:szCs w:val="24"/>
            </w:rPr>
            <w:fldChar w:fldCharType="separate"/>
          </w:r>
          <w:r>
            <w:rPr>
              <w:rFonts w:hint="default"/>
              <w:lang w:val="en-US" w:eastAsia="zh-CN"/>
            </w:rPr>
            <w:t>1.4.1. 运维管理部</w:t>
          </w:r>
          <w:r>
            <w:tab/>
          </w:r>
          <w:r>
            <w:fldChar w:fldCharType="begin"/>
          </w:r>
          <w:r>
            <w:instrText xml:space="preserve"> PAGEREF _Toc11273 \h </w:instrText>
          </w:r>
          <w:r>
            <w:fldChar w:fldCharType="separate"/>
          </w:r>
          <w:r>
            <w:t>4</w:t>
          </w:r>
          <w:r>
            <w:fldChar w:fldCharType="end"/>
          </w:r>
          <w:r>
            <w:rPr>
              <w:rFonts w:hint="eastAsia" w:ascii="宋体" w:hAnsi="宋体" w:eastAsia="宋体" w:cs="宋体"/>
              <w:szCs w:val="24"/>
            </w:rPr>
            <w:fldChar w:fldCharType="end"/>
          </w:r>
        </w:p>
        <w:p w14:paraId="3E515D6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_Toc17784 </w:instrText>
          </w:r>
          <w:r>
            <w:rPr>
              <w:rFonts w:hint="eastAsia" w:ascii="宋体" w:hAnsi="宋体" w:eastAsia="宋体" w:cs="宋体"/>
              <w:szCs w:val="24"/>
            </w:rPr>
            <w:fldChar w:fldCharType="separate"/>
          </w:r>
          <w:r>
            <w:rPr>
              <w:rFonts w:hint="default"/>
              <w:lang w:val="en-US" w:eastAsia="zh-CN"/>
            </w:rPr>
            <w:t>1.4.2. 质量效能部</w:t>
          </w:r>
          <w:r>
            <w:tab/>
          </w:r>
          <w:r>
            <w:fldChar w:fldCharType="begin"/>
          </w:r>
          <w:r>
            <w:instrText xml:space="preserve"> PAGEREF _Toc17784 \h </w:instrText>
          </w:r>
          <w:r>
            <w:fldChar w:fldCharType="separate"/>
          </w:r>
          <w:r>
            <w:t>5</w:t>
          </w:r>
          <w:r>
            <w:fldChar w:fldCharType="end"/>
          </w:r>
          <w:r>
            <w:rPr>
              <w:rFonts w:hint="eastAsia" w:ascii="宋体" w:hAnsi="宋体" w:eastAsia="宋体" w:cs="宋体"/>
              <w:szCs w:val="24"/>
            </w:rPr>
            <w:fldChar w:fldCharType="end"/>
          </w:r>
        </w:p>
        <w:p w14:paraId="373BC75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_Toc28817 </w:instrText>
          </w:r>
          <w:r>
            <w:rPr>
              <w:rFonts w:hint="eastAsia" w:ascii="宋体" w:hAnsi="宋体" w:eastAsia="宋体" w:cs="宋体"/>
              <w:szCs w:val="24"/>
            </w:rPr>
            <w:fldChar w:fldCharType="separate"/>
          </w:r>
          <w:r>
            <w:rPr>
              <w:rFonts w:hint="default"/>
              <w:lang w:val="en-US" w:eastAsia="zh-CN"/>
            </w:rPr>
            <w:t>1.4.3. 采购部</w:t>
          </w:r>
          <w:r>
            <w:tab/>
          </w:r>
          <w:r>
            <w:fldChar w:fldCharType="begin"/>
          </w:r>
          <w:r>
            <w:instrText xml:space="preserve"> PAGEREF _Toc28817 \h </w:instrText>
          </w:r>
          <w:r>
            <w:fldChar w:fldCharType="separate"/>
          </w:r>
          <w:r>
            <w:t>5</w:t>
          </w:r>
          <w:r>
            <w:fldChar w:fldCharType="end"/>
          </w:r>
          <w:r>
            <w:rPr>
              <w:rFonts w:hint="eastAsia" w:ascii="宋体" w:hAnsi="宋体" w:eastAsia="宋体" w:cs="宋体"/>
              <w:szCs w:val="24"/>
            </w:rPr>
            <w:fldChar w:fldCharType="end"/>
          </w:r>
        </w:p>
        <w:p w14:paraId="01C074A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_Toc14473 </w:instrText>
          </w:r>
          <w:r>
            <w:rPr>
              <w:rFonts w:hint="eastAsia" w:ascii="宋体" w:hAnsi="宋体" w:eastAsia="宋体" w:cs="宋体"/>
              <w:szCs w:val="24"/>
            </w:rPr>
            <w:fldChar w:fldCharType="separate"/>
          </w:r>
          <w:r>
            <w:rPr>
              <w:rFonts w:hint="default"/>
              <w:lang w:val="en-US" w:eastAsia="zh-CN"/>
            </w:rPr>
            <w:t>1.4.4. 研发部</w:t>
          </w:r>
          <w:r>
            <w:tab/>
          </w:r>
          <w:r>
            <w:fldChar w:fldCharType="begin"/>
          </w:r>
          <w:r>
            <w:instrText xml:space="preserve"> PAGEREF _Toc14473 \h </w:instrText>
          </w:r>
          <w:r>
            <w:fldChar w:fldCharType="separate"/>
          </w:r>
          <w:r>
            <w:t>5</w:t>
          </w:r>
          <w:r>
            <w:fldChar w:fldCharType="end"/>
          </w:r>
          <w:r>
            <w:rPr>
              <w:rFonts w:hint="eastAsia" w:ascii="宋体" w:hAnsi="宋体" w:eastAsia="宋体" w:cs="宋体"/>
              <w:szCs w:val="24"/>
            </w:rPr>
            <w:fldChar w:fldCharType="end"/>
          </w:r>
        </w:p>
        <w:p w14:paraId="082149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_Toc13966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人力资源部</w:t>
          </w:r>
          <w:r>
            <w:tab/>
          </w:r>
          <w:r>
            <w:fldChar w:fldCharType="begin"/>
          </w:r>
          <w:r>
            <w:instrText xml:space="preserve"> PAGEREF _Toc13966 \h </w:instrText>
          </w:r>
          <w:r>
            <w:fldChar w:fldCharType="separate"/>
          </w:r>
          <w:r>
            <w:t>5</w:t>
          </w:r>
          <w:r>
            <w:fldChar w:fldCharType="end"/>
          </w:r>
          <w:r>
            <w:rPr>
              <w:rFonts w:hint="eastAsia" w:ascii="宋体" w:hAnsi="宋体" w:eastAsia="宋体" w:cs="宋体"/>
              <w:szCs w:val="24"/>
            </w:rPr>
            <w:fldChar w:fldCharType="end"/>
          </w:r>
        </w:p>
        <w:p w14:paraId="7906EF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_Toc26021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_Toc26021 \h </w:instrText>
          </w:r>
          <w:r>
            <w:fldChar w:fldCharType="separate"/>
          </w:r>
          <w:r>
            <w:t>5</w:t>
          </w:r>
          <w:r>
            <w:fldChar w:fldCharType="end"/>
          </w:r>
          <w:r>
            <w:rPr>
              <w:rFonts w:hint="eastAsia" w:ascii="宋体" w:hAnsi="宋体" w:eastAsia="宋体" w:cs="宋体"/>
              <w:szCs w:val="24"/>
            </w:rPr>
            <w:fldChar w:fldCharType="end"/>
          </w:r>
        </w:p>
        <w:p w14:paraId="587A2E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_Toc7198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_Toc7198 \h </w:instrText>
          </w:r>
          <w:r>
            <w:fldChar w:fldCharType="separate"/>
          </w:r>
          <w:r>
            <w:t>5</w:t>
          </w:r>
          <w:r>
            <w:fldChar w:fldCharType="end"/>
          </w:r>
          <w:r>
            <w:rPr>
              <w:rFonts w:hint="eastAsia" w:ascii="宋体" w:hAnsi="宋体" w:eastAsia="宋体" w:cs="宋体"/>
              <w:szCs w:val="24"/>
            </w:rPr>
            <w:fldChar w:fldCharType="end"/>
          </w:r>
        </w:p>
        <w:p w14:paraId="2EF41C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_Toc12264 </w:instrText>
          </w:r>
          <w:r>
            <w:rPr>
              <w:rFonts w:hint="eastAsia" w:ascii="宋体" w:hAnsi="宋体" w:eastAsia="宋体" w:cs="宋体"/>
              <w:szCs w:val="24"/>
            </w:rPr>
            <w:fldChar w:fldCharType="separate"/>
          </w:r>
          <w:r>
            <w:rPr>
              <w:rFonts w:hint="default"/>
            </w:rPr>
            <w:t xml:space="preserve">3.1. </w:t>
          </w:r>
          <w:r>
            <w:rPr>
              <w:rFonts w:hint="eastAsia"/>
            </w:rPr>
            <w:t>运维工具</w:t>
          </w:r>
          <w:r>
            <w:tab/>
          </w:r>
          <w:r>
            <w:fldChar w:fldCharType="begin"/>
          </w:r>
          <w:r>
            <w:instrText xml:space="preserve"> PAGEREF _Toc12264 \h </w:instrText>
          </w:r>
          <w:r>
            <w:fldChar w:fldCharType="separate"/>
          </w:r>
          <w:r>
            <w:t>5</w:t>
          </w:r>
          <w:r>
            <w:fldChar w:fldCharType="end"/>
          </w:r>
          <w:r>
            <w:rPr>
              <w:rFonts w:hint="eastAsia" w:ascii="宋体" w:hAnsi="宋体" w:eastAsia="宋体" w:cs="宋体"/>
              <w:szCs w:val="24"/>
            </w:rPr>
            <w:fldChar w:fldCharType="end"/>
          </w:r>
        </w:p>
        <w:p w14:paraId="4FFBCAC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_Toc1944 </w:instrText>
          </w:r>
          <w:r>
            <w:rPr>
              <w:rFonts w:hint="eastAsia" w:ascii="宋体" w:hAnsi="宋体" w:eastAsia="宋体" w:cs="宋体"/>
              <w:szCs w:val="24"/>
            </w:rPr>
            <w:fldChar w:fldCharType="separate"/>
          </w:r>
          <w:r>
            <w:rPr>
              <w:rFonts w:hint="default"/>
            </w:rPr>
            <w:t xml:space="preserve">3.2. </w:t>
          </w:r>
          <w:r>
            <w:rPr>
              <w:rFonts w:hint="eastAsia"/>
            </w:rPr>
            <w:t>过程管理工具</w:t>
          </w:r>
          <w:r>
            <w:tab/>
          </w:r>
          <w:r>
            <w:fldChar w:fldCharType="begin"/>
          </w:r>
          <w:r>
            <w:instrText xml:space="preserve"> PAGEREF _Toc1944 \h </w:instrText>
          </w:r>
          <w:r>
            <w:fldChar w:fldCharType="separate"/>
          </w:r>
          <w:r>
            <w:t>6</w:t>
          </w:r>
          <w:r>
            <w:fldChar w:fldCharType="end"/>
          </w:r>
          <w:r>
            <w:rPr>
              <w:rFonts w:hint="eastAsia" w:ascii="宋体" w:hAnsi="宋体" w:eastAsia="宋体" w:cs="宋体"/>
              <w:szCs w:val="24"/>
            </w:rPr>
            <w:fldChar w:fldCharType="end"/>
          </w:r>
        </w:p>
        <w:p w14:paraId="55446EE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_Toc23889 </w:instrText>
          </w:r>
          <w:r>
            <w:rPr>
              <w:rFonts w:hint="eastAsia" w:ascii="宋体" w:hAnsi="宋体" w:eastAsia="宋体" w:cs="宋体"/>
              <w:szCs w:val="24"/>
            </w:rPr>
            <w:fldChar w:fldCharType="separate"/>
          </w:r>
          <w:r>
            <w:rPr>
              <w:rFonts w:hint="default"/>
            </w:rPr>
            <w:t xml:space="preserve">3.3. </w:t>
          </w:r>
          <w:r>
            <w:rPr>
              <w:rFonts w:hint="eastAsia"/>
            </w:rPr>
            <w:t>监控工具</w:t>
          </w:r>
          <w:r>
            <w:tab/>
          </w:r>
          <w:r>
            <w:fldChar w:fldCharType="begin"/>
          </w:r>
          <w:r>
            <w:instrText xml:space="preserve"> PAGEREF _Toc23889 \h </w:instrText>
          </w:r>
          <w:r>
            <w:fldChar w:fldCharType="separate"/>
          </w:r>
          <w:r>
            <w:t>6</w:t>
          </w:r>
          <w:r>
            <w:fldChar w:fldCharType="end"/>
          </w:r>
          <w:r>
            <w:rPr>
              <w:rFonts w:hint="eastAsia" w:ascii="宋体" w:hAnsi="宋体" w:eastAsia="宋体" w:cs="宋体"/>
              <w:szCs w:val="24"/>
            </w:rPr>
            <w:fldChar w:fldCharType="end"/>
          </w:r>
        </w:p>
        <w:p w14:paraId="2360BC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_Toc17400 </w:instrText>
          </w:r>
          <w:r>
            <w:rPr>
              <w:rFonts w:hint="eastAsia" w:ascii="宋体" w:hAnsi="宋体" w:eastAsia="宋体" w:cs="宋体"/>
              <w:szCs w:val="24"/>
            </w:rPr>
            <w:fldChar w:fldCharType="separate"/>
          </w:r>
          <w:r>
            <w:rPr>
              <w:rFonts w:hint="default"/>
            </w:rPr>
            <w:t xml:space="preserve">3.4. </w:t>
          </w:r>
          <w:r>
            <w:rPr>
              <w:rFonts w:hint="eastAsia"/>
            </w:rPr>
            <w:t>工具全生命周期</w:t>
          </w:r>
          <w:r>
            <w:tab/>
          </w:r>
          <w:r>
            <w:fldChar w:fldCharType="begin"/>
          </w:r>
          <w:r>
            <w:instrText xml:space="preserve"> PAGEREF _Toc17400 \h </w:instrText>
          </w:r>
          <w:r>
            <w:fldChar w:fldCharType="separate"/>
          </w:r>
          <w:r>
            <w:t>6</w:t>
          </w:r>
          <w:r>
            <w:fldChar w:fldCharType="end"/>
          </w:r>
          <w:r>
            <w:rPr>
              <w:rFonts w:hint="eastAsia" w:ascii="宋体" w:hAnsi="宋体" w:eastAsia="宋体" w:cs="宋体"/>
              <w:szCs w:val="24"/>
            </w:rPr>
            <w:fldChar w:fldCharType="end"/>
          </w:r>
        </w:p>
        <w:p w14:paraId="46AD0B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_Toc7676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_Toc7676 \h </w:instrText>
          </w:r>
          <w:r>
            <w:fldChar w:fldCharType="separate"/>
          </w:r>
          <w:r>
            <w:t>6</w:t>
          </w:r>
          <w:r>
            <w:fldChar w:fldCharType="end"/>
          </w:r>
          <w:r>
            <w:rPr>
              <w:rFonts w:hint="eastAsia" w:ascii="宋体" w:hAnsi="宋体" w:eastAsia="宋体" w:cs="宋体"/>
              <w:szCs w:val="24"/>
            </w:rPr>
            <w:fldChar w:fldCharType="end"/>
          </w:r>
        </w:p>
        <w:p w14:paraId="78F162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_Toc21945 </w:instrText>
          </w:r>
          <w:r>
            <w:rPr>
              <w:rFonts w:hint="eastAsia" w:ascii="宋体" w:hAnsi="宋体" w:eastAsia="宋体" w:cs="宋体"/>
              <w:szCs w:val="24"/>
            </w:rPr>
            <w:fldChar w:fldCharType="separate"/>
          </w:r>
          <w:r>
            <w:rPr>
              <w:rFonts w:hint="default"/>
              <w:lang w:val="en-US" w:eastAsia="zh-CN"/>
            </w:rPr>
            <w:t>4.1. 工具分类</w:t>
          </w:r>
          <w:r>
            <w:tab/>
          </w:r>
          <w:r>
            <w:fldChar w:fldCharType="begin"/>
          </w:r>
          <w:r>
            <w:instrText xml:space="preserve"> PAGEREF _Toc21945 \h </w:instrText>
          </w:r>
          <w:r>
            <w:fldChar w:fldCharType="separate"/>
          </w:r>
          <w:r>
            <w:t>6</w:t>
          </w:r>
          <w:r>
            <w:fldChar w:fldCharType="end"/>
          </w:r>
          <w:r>
            <w:rPr>
              <w:rFonts w:hint="eastAsia" w:ascii="宋体" w:hAnsi="宋体" w:eastAsia="宋体" w:cs="宋体"/>
              <w:szCs w:val="24"/>
            </w:rPr>
            <w:fldChar w:fldCharType="end"/>
          </w:r>
        </w:p>
        <w:p w14:paraId="4D3E896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_Toc19995 </w:instrText>
          </w:r>
          <w:r>
            <w:rPr>
              <w:rFonts w:hint="eastAsia" w:ascii="宋体" w:hAnsi="宋体" w:eastAsia="宋体" w:cs="宋体"/>
              <w:szCs w:val="24"/>
            </w:rPr>
            <w:fldChar w:fldCharType="separate"/>
          </w:r>
          <w:r>
            <w:rPr>
              <w:rFonts w:hint="default"/>
              <w:lang w:val="en-US" w:eastAsia="zh-CN"/>
            </w:rPr>
            <w:t>4.2. 需求管理</w:t>
          </w:r>
          <w:r>
            <w:tab/>
          </w:r>
          <w:r>
            <w:fldChar w:fldCharType="begin"/>
          </w:r>
          <w:r>
            <w:instrText xml:space="preserve"> PAGEREF _Toc19995 \h </w:instrText>
          </w:r>
          <w:r>
            <w:fldChar w:fldCharType="separate"/>
          </w:r>
          <w:r>
            <w:t>6</w:t>
          </w:r>
          <w:r>
            <w:fldChar w:fldCharType="end"/>
          </w:r>
          <w:r>
            <w:rPr>
              <w:rFonts w:hint="eastAsia" w:ascii="宋体" w:hAnsi="宋体" w:eastAsia="宋体" w:cs="宋体"/>
              <w:szCs w:val="24"/>
            </w:rPr>
            <w:fldChar w:fldCharType="end"/>
          </w:r>
        </w:p>
        <w:p w14:paraId="650C37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_Toc29528 </w:instrText>
          </w:r>
          <w:r>
            <w:rPr>
              <w:rFonts w:hint="eastAsia" w:ascii="宋体" w:hAnsi="宋体" w:eastAsia="宋体" w:cs="宋体"/>
              <w:szCs w:val="24"/>
            </w:rPr>
            <w:fldChar w:fldCharType="separate"/>
          </w:r>
          <w:r>
            <w:rPr>
              <w:rFonts w:hint="default"/>
              <w:lang w:val="en-US" w:eastAsia="zh-CN"/>
            </w:rPr>
            <w:t>4.3. 试用与发布</w:t>
          </w:r>
          <w:r>
            <w:tab/>
          </w:r>
          <w:r>
            <w:fldChar w:fldCharType="begin"/>
          </w:r>
          <w:r>
            <w:instrText xml:space="preserve"> PAGEREF _Toc29528 \h </w:instrText>
          </w:r>
          <w:r>
            <w:fldChar w:fldCharType="separate"/>
          </w:r>
          <w:r>
            <w:t>7</w:t>
          </w:r>
          <w:r>
            <w:fldChar w:fldCharType="end"/>
          </w:r>
          <w:r>
            <w:rPr>
              <w:rFonts w:hint="eastAsia" w:ascii="宋体" w:hAnsi="宋体" w:eastAsia="宋体" w:cs="宋体"/>
              <w:szCs w:val="24"/>
            </w:rPr>
            <w:fldChar w:fldCharType="end"/>
          </w:r>
        </w:p>
        <w:p w14:paraId="588C2FF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_Toc20711 </w:instrText>
          </w:r>
          <w:r>
            <w:rPr>
              <w:rFonts w:hint="eastAsia" w:ascii="宋体" w:hAnsi="宋体" w:eastAsia="宋体" w:cs="宋体"/>
              <w:szCs w:val="24"/>
            </w:rPr>
            <w:fldChar w:fldCharType="separate"/>
          </w:r>
          <w:r>
            <w:rPr>
              <w:rFonts w:hint="default"/>
              <w:lang w:val="en-US" w:eastAsia="zh-CN"/>
            </w:rPr>
            <w:t>4.4. 清单与授权管理</w:t>
          </w:r>
          <w:r>
            <w:tab/>
          </w:r>
          <w:r>
            <w:fldChar w:fldCharType="begin"/>
          </w:r>
          <w:r>
            <w:instrText xml:space="preserve"> PAGEREF _Toc20711 \h </w:instrText>
          </w:r>
          <w:r>
            <w:fldChar w:fldCharType="separate"/>
          </w:r>
          <w:r>
            <w:t>7</w:t>
          </w:r>
          <w:r>
            <w:fldChar w:fldCharType="end"/>
          </w:r>
          <w:r>
            <w:rPr>
              <w:rFonts w:hint="eastAsia" w:ascii="宋体" w:hAnsi="宋体" w:eastAsia="宋体" w:cs="宋体"/>
              <w:szCs w:val="24"/>
            </w:rPr>
            <w:fldChar w:fldCharType="end"/>
          </w:r>
        </w:p>
        <w:p w14:paraId="071F290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_Toc10007 </w:instrText>
          </w:r>
          <w:r>
            <w:rPr>
              <w:rFonts w:hint="eastAsia" w:ascii="宋体" w:hAnsi="宋体" w:eastAsia="宋体" w:cs="宋体"/>
              <w:szCs w:val="24"/>
            </w:rPr>
            <w:fldChar w:fldCharType="separate"/>
          </w:r>
          <w:r>
            <w:rPr>
              <w:rFonts w:hint="default"/>
              <w:lang w:val="en-US" w:eastAsia="zh-CN"/>
            </w:rPr>
            <w:t>4.5. 跟踪控制与持续改进</w:t>
          </w:r>
          <w:r>
            <w:tab/>
          </w:r>
          <w:r>
            <w:fldChar w:fldCharType="begin"/>
          </w:r>
          <w:r>
            <w:instrText xml:space="preserve"> PAGEREF _Toc10007 \h </w:instrText>
          </w:r>
          <w:r>
            <w:fldChar w:fldCharType="separate"/>
          </w:r>
          <w:r>
            <w:t>7</w:t>
          </w:r>
          <w:r>
            <w:fldChar w:fldCharType="end"/>
          </w:r>
          <w:r>
            <w:rPr>
              <w:rFonts w:hint="eastAsia" w:ascii="宋体" w:hAnsi="宋体" w:eastAsia="宋体" w:cs="宋体"/>
              <w:szCs w:val="24"/>
            </w:rPr>
            <w:fldChar w:fldCharType="end"/>
          </w:r>
        </w:p>
        <w:p w14:paraId="5DC492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_Toc5084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_Toc5084 \h </w:instrText>
          </w:r>
          <w:r>
            <w:fldChar w:fldCharType="separate"/>
          </w:r>
          <w:r>
            <w:t>8</w:t>
          </w:r>
          <w:r>
            <w:fldChar w:fldCharType="end"/>
          </w:r>
          <w:r>
            <w:rPr>
              <w:rFonts w:hint="eastAsia" w:ascii="宋体" w:hAnsi="宋体" w:eastAsia="宋体" w:cs="宋体"/>
              <w:szCs w:val="24"/>
            </w:rPr>
            <w:fldChar w:fldCharType="end"/>
          </w:r>
        </w:p>
        <w:p w14:paraId="3F3ADD8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_Toc3007 \h </w:instrText>
          </w:r>
          <w:r>
            <w:fldChar w:fldCharType="separate"/>
          </w:r>
          <w:r>
            <w:t>8</w:t>
          </w:r>
          <w:r>
            <w:fldChar w:fldCharType="end"/>
          </w:r>
          <w:r>
            <w:rPr>
              <w:rFonts w:hint="eastAsia" w:ascii="宋体" w:hAnsi="宋体" w:eastAsia="宋体" w:cs="宋体"/>
              <w:szCs w:val="24"/>
            </w:rPr>
            <w:fldChar w:fldCharType="end"/>
          </w:r>
        </w:p>
        <w:p w14:paraId="042C4D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_Toc1268 \h </w:instrText>
          </w:r>
          <w:r>
            <w:fldChar w:fldCharType="separate"/>
          </w:r>
          <w:r>
            <w:t>8</w:t>
          </w:r>
          <w:r>
            <w:fldChar w:fldCharType="end"/>
          </w:r>
          <w:r>
            <w:rPr>
              <w:rFonts w:hint="eastAsia" w:ascii="宋体" w:hAnsi="宋体" w:eastAsia="宋体" w:cs="宋体"/>
              <w:szCs w:val="24"/>
            </w:rPr>
            <w:fldChar w:fldCharType="end"/>
          </w:r>
        </w:p>
        <w:p w14:paraId="65BE11A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_Toc25702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_Toc25702 \h </w:instrText>
          </w:r>
          <w:r>
            <w:fldChar w:fldCharType="separate"/>
          </w:r>
          <w:r>
            <w:t>8</w:t>
          </w:r>
          <w:r>
            <w:fldChar w:fldCharType="end"/>
          </w:r>
          <w:r>
            <w:rPr>
              <w:rFonts w:hint="eastAsia" w:ascii="宋体" w:hAnsi="宋体" w:eastAsia="宋体" w:cs="宋体"/>
              <w:szCs w:val="24"/>
            </w:rPr>
            <w:fldChar w:fldCharType="end"/>
          </w:r>
        </w:p>
        <w:p w14:paraId="569BC3E5">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393EC9B">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8490"/>
      <w:r>
        <w:rPr>
          <w:rFonts w:hint="eastAsia"/>
          <w:lang w:val="en-US" w:eastAsia="zh-CN"/>
        </w:rPr>
        <w:t>总则</w:t>
      </w:r>
      <w:bookmarkEnd w:id="2"/>
    </w:p>
    <w:p w14:paraId="148EC5C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628"/>
      <w:r>
        <w:rPr>
          <w:rFonts w:hint="eastAsia"/>
          <w:lang w:val="en-US" w:eastAsia="zh-CN"/>
        </w:rPr>
        <w:t>目的</w:t>
      </w:r>
      <w:bookmarkEnd w:id="3"/>
    </w:p>
    <w:p w14:paraId="32E2ABE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为规范公司运维工具的全生命周期管理，明确各相关部门职责，确保运维工具的选型、采购、研发、应用、维护及退役过程受控、高效、安全，有效支撑ITSS三级要求的运维服务能力，特制定本制度。</w:t>
      </w:r>
    </w:p>
    <w:p w14:paraId="06BF2C0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3705"/>
      <w:r>
        <w:rPr>
          <w:rFonts w:hint="eastAsia"/>
          <w:lang w:val="en-US" w:eastAsia="zh-CN"/>
        </w:rPr>
        <w:t>适用范围</w:t>
      </w:r>
      <w:bookmarkEnd w:id="4"/>
    </w:p>
    <w:p w14:paraId="39CDE3B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信息技术运维服务相关的工具管理活动，涉及部门包括但不限于运维管理部、质量效能部、采购部、研发部、人力资源部。管理范围涵盖工具的规划、需求、设计、开发/采购、测试、发布、使用、监控、评估及改进等全过程。</w:t>
      </w:r>
    </w:p>
    <w:p w14:paraId="7F4768F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177"/>
      <w:r>
        <w:rPr>
          <w:rFonts w:hint="eastAsia"/>
          <w:lang w:val="en-US" w:eastAsia="zh-CN"/>
        </w:rPr>
        <w:t>原则</w:t>
      </w:r>
      <w:bookmarkEnd w:id="5"/>
    </w:p>
    <w:p w14:paraId="563EB0F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统一规划原则：运维工具的建设与应用应在公司整体战略和运维体系规划下统一进行，避免重复投资和信息孤岛。</w:t>
      </w:r>
    </w:p>
    <w:p w14:paraId="35FBB487">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业务匹配原则：工具的选择与开发应紧密贴合运维业务需求，确保工具能有效提升服务效率与质量。</w:t>
      </w:r>
    </w:p>
    <w:p w14:paraId="1A164AC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安全可控原则：所有运维工具必须符合公司信息安全与保密规定，关键工具应实现自主可控或具备可靠的供应链保障。</w:t>
      </w:r>
    </w:p>
    <w:p w14:paraId="6D2E548B">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持续改进原则：定期评估工具应用效果，基于数据和反馈持续优化工具功能与性能，形成管理闭环。</w:t>
      </w:r>
    </w:p>
    <w:p w14:paraId="0E445129">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2751"/>
      <w:r>
        <w:rPr>
          <w:rFonts w:hint="eastAsia"/>
          <w:lang w:val="en-US" w:eastAsia="zh-CN"/>
        </w:rPr>
        <w:t>岗位职责</w:t>
      </w:r>
      <w:bookmarkEnd w:id="6"/>
    </w:p>
    <w:p w14:paraId="56C1BAF9">
      <w:pPr>
        <w:pStyle w:val="31"/>
        <w:bidi w:val="0"/>
        <w:rPr>
          <w:rFonts w:hint="default"/>
          <w:lang w:val="en-US" w:eastAsia="zh-CN"/>
        </w:rPr>
      </w:pPr>
      <w:bookmarkStart w:id="7" w:name="_Toc11273"/>
      <w:r>
        <w:rPr>
          <w:rFonts w:hint="default"/>
          <w:lang w:val="en-US" w:eastAsia="zh-CN"/>
        </w:rPr>
        <w:t>运维管理部</w:t>
      </w:r>
      <w:bookmarkEnd w:id="7"/>
    </w:p>
    <w:p w14:paraId="534648E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作为运维工具的归口管理部门，负责组织制定和维护运维工具应用规范。</w:t>
      </w:r>
    </w:p>
    <w:p w14:paraId="698AD85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负责提出运维工具需求，组织工具试用，收集使用反馈。</w:t>
      </w:r>
    </w:p>
    <w:p w14:paraId="235F3E4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负责维护和发布《运维工具清单》，负责工具的日常使用、记录和常规维护。</w:t>
      </w:r>
    </w:p>
    <w:p w14:paraId="7720E76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负责组织工具的使用培训，并将工具使用指南纳入知识库。</w:t>
      </w:r>
    </w:p>
    <w:p w14:paraId="37961E54">
      <w:pPr>
        <w:pStyle w:val="31"/>
        <w:bidi w:val="0"/>
        <w:rPr>
          <w:rFonts w:hint="default"/>
          <w:lang w:val="en-US" w:eastAsia="zh-CN"/>
        </w:rPr>
      </w:pPr>
      <w:bookmarkStart w:id="8" w:name="_Toc17784"/>
      <w:r>
        <w:rPr>
          <w:rFonts w:hint="default"/>
          <w:lang w:val="en-US" w:eastAsia="zh-CN"/>
        </w:rPr>
        <w:t>质量效能部</w:t>
      </w:r>
      <w:bookmarkEnd w:id="8"/>
    </w:p>
    <w:p w14:paraId="41F307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负责监督本制度的执行情况，并组织对运维工具应用效果的定期评估。</w:t>
      </w:r>
    </w:p>
    <w:p w14:paraId="105B4CA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负责审核工具管理流程的合规性，确保其符合ITSS等标准体系要求。</w:t>
      </w:r>
    </w:p>
    <w:p w14:paraId="559CD797">
      <w:pPr>
        <w:pStyle w:val="31"/>
        <w:bidi w:val="0"/>
        <w:rPr>
          <w:rFonts w:hint="default"/>
          <w:lang w:val="en-US" w:eastAsia="zh-CN"/>
        </w:rPr>
      </w:pPr>
      <w:bookmarkStart w:id="9" w:name="_Toc12304"/>
      <w:bookmarkStart w:id="10" w:name="_Toc28817"/>
      <w:r>
        <w:rPr>
          <w:rFonts w:hint="default"/>
          <w:lang w:val="en-US" w:eastAsia="zh-CN"/>
        </w:rPr>
        <w:t>采购部</w:t>
      </w:r>
      <w:bookmarkEnd w:id="9"/>
      <w:bookmarkEnd w:id="10"/>
    </w:p>
    <w:p w14:paraId="5A56CC1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负责根据经审批的采购需求，执行第三方运维工具的采购流程。</w:t>
      </w:r>
    </w:p>
    <w:p w14:paraId="71A5349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确保采购合同条款明确工具升级、维保等供应商服务内容。</w:t>
      </w:r>
    </w:p>
    <w:p w14:paraId="5C9CCDB0">
      <w:pPr>
        <w:pStyle w:val="31"/>
        <w:bidi w:val="0"/>
        <w:rPr>
          <w:rFonts w:hint="default"/>
          <w:lang w:val="en-US" w:eastAsia="zh-CN"/>
        </w:rPr>
      </w:pPr>
      <w:bookmarkStart w:id="11" w:name="_Toc14473"/>
      <w:r>
        <w:rPr>
          <w:rFonts w:hint="default"/>
          <w:lang w:val="en-US" w:eastAsia="zh-CN"/>
        </w:rPr>
        <w:t>研发部</w:t>
      </w:r>
      <w:bookmarkEnd w:id="11"/>
    </w:p>
    <w:p w14:paraId="4102388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负责根据公司年度技术研发计划，进行自有运维工具的研发、升级、更新与补丁发布。</w:t>
      </w:r>
    </w:p>
    <w:p w14:paraId="50CAFF7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负责管理自有运维工具的知识产权及相关技术资料。</w:t>
      </w:r>
    </w:p>
    <w:p w14:paraId="578FC812">
      <w:pPr>
        <w:pStyle w:val="31"/>
        <w:bidi w:val="0"/>
        <w:rPr>
          <w:rFonts w:hint="default"/>
          <w:lang w:val="en-US" w:eastAsia="zh-CN"/>
        </w:rPr>
      </w:pPr>
      <w:bookmarkStart w:id="12" w:name="_Toc13966"/>
      <w:r>
        <w:rPr>
          <w:rFonts w:hint="eastAsia"/>
          <w:lang w:val="en-US" w:eastAsia="zh-CN"/>
        </w:rPr>
        <w:t>人力资源部</w:t>
      </w:r>
      <w:bookmarkEnd w:id="12"/>
    </w:p>
    <w:p w14:paraId="1FC74C1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负责协同运维管理部，组织或协调运维工具相关的培训资源，确保人员能力与工具要求匹配。</w:t>
      </w:r>
    </w:p>
    <w:p w14:paraId="284268E9">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26021"/>
      <w:r>
        <w:rPr>
          <w:rFonts w:hint="eastAsia"/>
          <w:lang w:val="en-US" w:eastAsia="zh-CN"/>
        </w:rPr>
        <w:t>引用依据</w:t>
      </w:r>
      <w:bookmarkEnd w:id="13"/>
    </w:p>
    <w:p w14:paraId="5FF2090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本制度的制定与实施主要参考以下国家标准和行业规范：</w:t>
      </w:r>
    </w:p>
    <w:p w14:paraId="027D10DC">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07DAB4A5">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0857809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36FE6170">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140F80B0">
      <w:pPr>
        <w:pStyle w:val="28"/>
        <w:keepNext w:val="0"/>
        <w:keepLines w:val="0"/>
        <w:pageBreakBefore w:val="0"/>
        <w:widowControl w:val="0"/>
        <w:kinsoku w:val="0"/>
        <w:wordWrap/>
        <w:overflowPunct/>
        <w:autoSpaceDE w:val="0"/>
        <w:autoSpaceDN w:val="0"/>
        <w:bidi w:val="0"/>
        <w:adjustRightInd w:val="0"/>
        <w:snapToGrid w:val="0"/>
        <w:textAlignment w:val="baseline"/>
      </w:pPr>
      <w:bookmarkStart w:id="14" w:name="_Toc7198"/>
      <w:r>
        <w:rPr>
          <w:rFonts w:hint="eastAsia"/>
          <w:lang w:val="en-US" w:eastAsia="zh-CN"/>
        </w:rPr>
        <w:t>定义与术语</w:t>
      </w:r>
      <w:bookmarkEnd w:id="14"/>
    </w:p>
    <w:p w14:paraId="22C16F0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2264"/>
      <w:r>
        <w:rPr>
          <w:rFonts w:hint="eastAsia"/>
        </w:rPr>
        <w:t>运维工具</w:t>
      </w:r>
      <w:bookmarkEnd w:id="15"/>
    </w:p>
    <w:p w14:paraId="45FE2EE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指用于支持信息技术运维服务交付、管理、监控和优化的各类软件或软硬件一体化平台。</w:t>
      </w:r>
    </w:p>
    <w:p w14:paraId="7887B04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944"/>
      <w:r>
        <w:rPr>
          <w:rFonts w:hint="eastAsia"/>
        </w:rPr>
        <w:t>过程管理工具</w:t>
      </w:r>
      <w:bookmarkEnd w:id="16"/>
    </w:p>
    <w:p w14:paraId="13514532">
      <w:pPr>
        <w:pStyle w:val="29"/>
        <w:bidi w:val="0"/>
        <w:rPr>
          <w:rFonts w:hint="eastAsia"/>
        </w:rPr>
      </w:pPr>
      <w:r>
        <w:t>为实现运维服务管理过程的规范化与数字化而采用的软件系统。它通过集成事件、问题、变更等核心流程，具备日常管理、记录跟踪、绩效测量、过程监督与服务评估等功能</w:t>
      </w:r>
      <w:bookmarkStart w:id="32" w:name="_GoBack"/>
      <w:bookmarkEnd w:id="32"/>
    </w:p>
    <w:p w14:paraId="29471A4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3889"/>
      <w:r>
        <w:rPr>
          <w:rFonts w:hint="eastAsia"/>
        </w:rPr>
        <w:t>监控工具</w:t>
      </w:r>
      <w:bookmarkEnd w:id="17"/>
    </w:p>
    <w:p w14:paraId="0676AE1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用于对运维对象（如网络、服务器、应用、数据库等）进行数据采集、性能监控和事件告警的工具。</w:t>
      </w:r>
    </w:p>
    <w:p w14:paraId="4214172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7400"/>
      <w:r>
        <w:rPr>
          <w:rFonts w:hint="eastAsia"/>
        </w:rPr>
        <w:t>工具全生命周期</w:t>
      </w:r>
      <w:bookmarkEnd w:id="18"/>
    </w:p>
    <w:p w14:paraId="535782A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指运维工具从需求提出到最终退役所经历的全部阶段，包括规划、设计、开发/采购、测试、部署、使用、维护和退役。</w:t>
      </w:r>
    </w:p>
    <w:p w14:paraId="3F91C238">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7676"/>
      <w:r>
        <w:rPr>
          <w:rFonts w:hint="eastAsia"/>
          <w:lang w:val="en-US" w:eastAsia="zh-CN"/>
        </w:rPr>
        <w:t>管理内容与要求</w:t>
      </w:r>
      <w:bookmarkEnd w:id="19"/>
    </w:p>
    <w:p w14:paraId="623D0107">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1945"/>
      <w:r>
        <w:rPr>
          <w:rFonts w:hint="default"/>
          <w:lang w:val="en-US" w:eastAsia="zh-CN"/>
        </w:rPr>
        <w:t>工具分类</w:t>
      </w:r>
      <w:bookmarkEnd w:id="20"/>
    </w:p>
    <w:p w14:paraId="2F2972C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为便于管理，将运维工具分为以下三类：</w:t>
      </w:r>
    </w:p>
    <w:p w14:paraId="12B16FAC">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过程管理工具</w:t>
      </w:r>
    </w:p>
    <w:p w14:paraId="5E1FAFB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按照ITSS体系制定的运维管理过程规范，管理运行维护服务的交付过程，包括事件、问题、变更、配置、发布等流程的管理、记录、测量、监督和评估。</w:t>
      </w:r>
    </w:p>
    <w:p w14:paraId="78F62392">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监控工具</w:t>
      </w:r>
    </w:p>
    <w:p w14:paraId="5F8AAF6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对运行维护服务对象进行数据的采集和监控，主动发现和预警故障隐患，保障服务对象稳定运行。</w:t>
      </w:r>
    </w:p>
    <w:p w14:paraId="44FBA76B">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专用工具</w:t>
      </w:r>
    </w:p>
    <w:p w14:paraId="60A2A5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根据特定服务要求配备的工具，如安全渗透测试工具、数据备份恢复工具、性能深度诊断工具等。</w:t>
      </w:r>
    </w:p>
    <w:p w14:paraId="64874E0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14:paraId="2189D4DD">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9995"/>
      <w:r>
        <w:rPr>
          <w:rFonts w:hint="default"/>
          <w:lang w:val="en-US" w:eastAsia="zh-CN"/>
        </w:rPr>
        <w:t>需求管理</w:t>
      </w:r>
      <w:bookmarkEnd w:id="21"/>
    </w:p>
    <w:p w14:paraId="73675D5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运维工具的需求主要由运维工程师基于业务实际提出，内容应涵盖功能、性能、安全性、易用性等方面，并明确验收标准。</w:t>
      </w:r>
    </w:p>
    <w:p w14:paraId="509DEAA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需求提出后，由运维管理部组织质量效能部、研发部等进行需求评审，分析可行性、成本与效益。</w:t>
      </w:r>
    </w:p>
    <w:p w14:paraId="7BE7483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研发类需求：对于修复BUG或功能增强的需求，须形成可安装/卸载的补丁程序。自有工具的研发应遵循节约原则，优先考虑基于开源软件进行二次开发，但必须经过严格测试。</w:t>
      </w:r>
    </w:p>
    <w:p w14:paraId="6097F4B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采购类需求：采购第三方商业工具必须符合公司安全和保密规定，并履行严格的报批程序。采购部需在合同中明确供应商的升级、培训和技术支持等责任条款。</w:t>
      </w:r>
    </w:p>
    <w:p w14:paraId="34B0825D">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29528"/>
      <w:r>
        <w:rPr>
          <w:rFonts w:hint="default"/>
          <w:lang w:val="en-US" w:eastAsia="zh-CN"/>
        </w:rPr>
        <w:t>试用与发布</w:t>
      </w:r>
      <w:bookmarkEnd w:id="22"/>
    </w:p>
    <w:p w14:paraId="3033919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工具试用：新工具或重大版本升级前，由运维管理部组织相关部门进行试用，并收集试用反馈，形成《试用评估报告》。</w:t>
      </w:r>
    </w:p>
    <w:p w14:paraId="54E56F8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工具发布：通过试用评估后，方可在公司范围内正式发布。发布工作包括：</w:t>
      </w:r>
    </w:p>
    <w:p w14:paraId="3987EDA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将工具及应用指南、使用手册纳入知识库和统一访问入口。</w:t>
      </w:r>
    </w:p>
    <w:p w14:paraId="0F166EF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由运维管理部协同人力资源部组织相关使用培训。</w:t>
      </w:r>
    </w:p>
    <w:p w14:paraId="02A2BA0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更新《运维工具清单》。</w:t>
      </w:r>
    </w:p>
    <w:p w14:paraId="276619E6">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0711"/>
      <w:r>
        <w:rPr>
          <w:rFonts w:hint="default"/>
          <w:lang w:val="en-US" w:eastAsia="zh-CN"/>
        </w:rPr>
        <w:t>清单与授权管理</w:t>
      </w:r>
      <w:bookmarkEnd w:id="23"/>
    </w:p>
    <w:p w14:paraId="74F4396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运维管理部负责建立并维护统一的《运维工具清单》，明确记录工具名称、版本、类型、应用范围、管理员及当前状态。</w:t>
      </w:r>
    </w:p>
    <w:p w14:paraId="41AC89D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运维管理部应基于“最小权限原则”，根据不同的运维角色和职责，对工具的使用权限进行分级授权，并形成《权限分配记录》，定期评审。</w:t>
      </w:r>
    </w:p>
    <w:p w14:paraId="01CB6C2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0007"/>
      <w:r>
        <w:rPr>
          <w:rFonts w:hint="default"/>
          <w:lang w:val="en-US" w:eastAsia="zh-CN"/>
        </w:rPr>
        <w:t>跟踪控制与持续改进</w:t>
      </w:r>
      <w:bookmarkEnd w:id="24"/>
    </w:p>
    <w:p w14:paraId="02606B6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使用记录：运维人员应记录工具的日常使用情况与问题。运维管理部定期收集使用反馈。</w:t>
      </w:r>
    </w:p>
    <w:p w14:paraId="5A8A9EE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定期评估：质量效能部应至少每年度组织一次运维工具应用效果的全面评估，评估维度包括工具的性能、功能、安全性、负载以及对运维目标的支撑度，并形成《运维工具评估报告》。</w:t>
      </w:r>
    </w:p>
    <w:p w14:paraId="14F6A27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改进与升级：评估中发现的问题和改进需求，应作为工具优化或新版本规划的需求输入。</w:t>
      </w:r>
    </w:p>
    <w:p w14:paraId="59C6E05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工具的更新与升级应纳入年度运维服务技术研发计划，由研发部按季度规划执行。</w:t>
      </w:r>
    </w:p>
    <w:p w14:paraId="28238CC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形成“使用-&gt;记录-&gt;评估-&gt;改进”的闭环管理机制，确保运维工具的持续有效性和先进性。</w:t>
      </w:r>
    </w:p>
    <w:p w14:paraId="63443A57">
      <w:pPr>
        <w:pStyle w:val="30"/>
        <w:bidi w:val="0"/>
        <w:rPr>
          <w:rFonts w:hint="default"/>
          <w:lang w:val="en-US" w:eastAsia="zh-CN"/>
        </w:rPr>
      </w:pPr>
      <w:bookmarkStart w:id="25" w:name="_Toc5084"/>
      <w:r>
        <w:rPr>
          <w:rFonts w:hint="eastAsia"/>
          <w:lang w:val="en-US" w:eastAsia="zh-CN"/>
        </w:rPr>
        <w:t>考核指标</w:t>
      </w:r>
      <w:bookmarkEnd w:id="25"/>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25F1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77A8FD3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4D0AD54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2FBE596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27FA31B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5F7F70A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6764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D94026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477BE6D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工具自评估次数</w:t>
            </w:r>
          </w:p>
        </w:tc>
        <w:tc>
          <w:tcPr>
            <w:tcW w:w="3427" w:type="dxa"/>
          </w:tcPr>
          <w:p w14:paraId="31E1CC6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数量，运维工具自评估报告数量</w:t>
            </w:r>
          </w:p>
        </w:tc>
        <w:tc>
          <w:tcPr>
            <w:tcW w:w="1107" w:type="dxa"/>
          </w:tcPr>
          <w:p w14:paraId="376049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0D9C80D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≥1次</w:t>
            </w:r>
          </w:p>
        </w:tc>
      </w:tr>
    </w:tbl>
    <w:p w14:paraId="0481E84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6" w:name="bookmark3"/>
      <w:bookmarkEnd w:id="26"/>
      <w:bookmarkStart w:id="27" w:name="_Toc17424"/>
      <w:bookmarkStart w:id="28" w:name="_Toc3007"/>
      <w:r>
        <w:rPr>
          <w:rStyle w:val="38"/>
          <w:rFonts w:hint="eastAsia" w:eastAsia="宋体"/>
          <w:lang w:val="en-US" w:eastAsia="zh-CN"/>
        </w:rPr>
        <w:t>附则</w:t>
      </w:r>
      <w:bookmarkEnd w:id="27"/>
      <w:bookmarkEnd w:id="28"/>
    </w:p>
    <w:p w14:paraId="10BDA44B">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运维管理部</w:t>
      </w:r>
      <w:r>
        <w:rPr>
          <w:rFonts w:ascii="宋体" w:hAnsi="宋体" w:eastAsia="宋体" w:cs="宋体"/>
          <w:spacing w:val="-1"/>
          <w:sz w:val="24"/>
          <w:szCs w:val="24"/>
        </w:rPr>
        <w:t>。</w:t>
      </w:r>
    </w:p>
    <w:p w14:paraId="2BE21404">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CFA6415">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bookmark14"/>
      <w:bookmarkEnd w:id="29"/>
      <w:bookmarkStart w:id="30" w:name="_Toc1268"/>
      <w:r>
        <w:rPr>
          <w:rFonts w:hint="eastAsia"/>
          <w:lang w:val="en-US" w:eastAsia="zh-CN"/>
        </w:rPr>
        <w:t>附件</w:t>
      </w:r>
      <w:bookmarkEnd w:id="30"/>
    </w:p>
    <w:p w14:paraId="55C2EC42">
      <w:pPr>
        <w:pStyle w:val="29"/>
        <w:numPr>
          <w:ilvl w:val="0"/>
          <w:numId w:val="6"/>
        </w:numPr>
        <w:ind w:left="425" w:leftChars="0" w:hanging="425" w:firstLineChars="0"/>
        <w:rPr>
          <w:rFonts w:hint="default"/>
          <w:lang w:val="en-US" w:eastAsia="zh-CN"/>
        </w:rPr>
      </w:pPr>
      <w:r>
        <w:rPr>
          <w:rFonts w:hint="default"/>
          <w:lang w:val="en-US" w:eastAsia="zh-CN"/>
        </w:rPr>
        <w:t>《运维工具需求申请表》</w:t>
      </w:r>
    </w:p>
    <w:p w14:paraId="41F2DE90">
      <w:pPr>
        <w:pStyle w:val="29"/>
        <w:numPr>
          <w:ilvl w:val="0"/>
          <w:numId w:val="6"/>
        </w:numPr>
        <w:ind w:left="425" w:leftChars="0" w:hanging="425" w:firstLineChars="0"/>
        <w:rPr>
          <w:rFonts w:hint="default"/>
          <w:lang w:val="en-US" w:eastAsia="zh-CN"/>
        </w:rPr>
      </w:pPr>
      <w:r>
        <w:rPr>
          <w:rFonts w:hint="default"/>
          <w:lang w:val="en-US" w:eastAsia="zh-CN"/>
        </w:rPr>
        <w:t>《运维工具试用评估报告》</w:t>
      </w:r>
    </w:p>
    <w:p w14:paraId="6F3B18AE">
      <w:pPr>
        <w:pStyle w:val="29"/>
        <w:numPr>
          <w:ilvl w:val="0"/>
          <w:numId w:val="6"/>
        </w:numPr>
        <w:ind w:left="425" w:leftChars="0" w:hanging="425" w:firstLineChars="0"/>
        <w:rPr>
          <w:rFonts w:hint="default"/>
          <w:lang w:val="en-US" w:eastAsia="zh-CN"/>
        </w:rPr>
      </w:pPr>
      <w:r>
        <w:rPr>
          <w:rFonts w:hint="default"/>
          <w:lang w:val="en-US" w:eastAsia="zh-CN"/>
        </w:rPr>
        <w:t>《运维工具清单》（模板）</w:t>
      </w:r>
    </w:p>
    <w:p w14:paraId="1D491017">
      <w:pPr>
        <w:pStyle w:val="29"/>
        <w:numPr>
          <w:ilvl w:val="0"/>
          <w:numId w:val="6"/>
        </w:numPr>
        <w:ind w:left="425" w:leftChars="0" w:hanging="425" w:firstLineChars="0"/>
        <w:rPr>
          <w:rFonts w:hint="default"/>
          <w:lang w:val="en-US" w:eastAsia="zh-CN"/>
        </w:rPr>
      </w:pPr>
      <w:r>
        <w:rPr>
          <w:rFonts w:hint="default"/>
          <w:lang w:val="en-US" w:eastAsia="zh-CN"/>
        </w:rPr>
        <w:t>《运维工具权限申请表》</w:t>
      </w:r>
    </w:p>
    <w:p w14:paraId="32FEE153">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1" w:name="_Toc25702"/>
      <w:r>
        <w:rPr>
          <w:rFonts w:hint="eastAsia"/>
          <w:lang w:val="en-US" w:eastAsia="zh-CN"/>
        </w:rPr>
        <w:t>记录</w:t>
      </w:r>
      <w:bookmarkEnd w:id="31"/>
    </w:p>
    <w:p w14:paraId="5749198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BE1DB">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CF2C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5772A"/>
    <w:multiLevelType w:val="singleLevel"/>
    <w:tmpl w:val="83F5772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8FF42926"/>
    <w:multiLevelType w:val="singleLevel"/>
    <w:tmpl w:val="8FF42926"/>
    <w:lvl w:ilvl="0" w:tentative="0">
      <w:start w:val="1"/>
      <w:numFmt w:val="decimal"/>
      <w:lvlText w:val="%1."/>
      <w:lvlJc w:val="left"/>
      <w:pPr>
        <w:ind w:left="425" w:hanging="425"/>
      </w:pPr>
      <w:rPr>
        <w:rFonts w:hint="default"/>
      </w:rPr>
    </w:lvl>
  </w:abstractNum>
  <w:abstractNum w:abstractNumId="3">
    <w:nsid w:val="B3F9C355"/>
    <w:multiLevelType w:val="singleLevel"/>
    <w:tmpl w:val="B3F9C355"/>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5748776A"/>
    <w:multiLevelType w:val="singleLevel"/>
    <w:tmpl w:val="5748776A"/>
    <w:lvl w:ilvl="0" w:tentative="0">
      <w:start w:val="1"/>
      <w:numFmt w:val="decimal"/>
      <w:lvlText w:val="%1."/>
      <w:lvlJc w:val="left"/>
      <w:pPr>
        <w:ind w:left="425" w:hanging="425"/>
      </w:pPr>
      <w:rPr>
        <w:rFont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C6B2097"/>
    <w:rsid w:val="77301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2466</Words>
  <Characters>2667</Characters>
  <Lines>0</Lines>
  <Paragraphs>0</Paragraphs>
  <TotalTime>8</TotalTime>
  <ScaleCrop>false</ScaleCrop>
  <LinksUpToDate>false</LinksUpToDate>
  <CharactersWithSpaces>2792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2026-01-15T14:22:28Z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