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9D3A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68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61D253F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40"/>
      <w:r>
        <w:rPr>
          <w:rFonts w:hint="eastAsia"/>
          <w:lang w:val="en-US" w:eastAsia="zh-CN"/>
        </w:rPr>
        <w:t>服务台管理制度</w:t>
      </w:r>
      <w:bookmarkEnd w:id="1"/>
    </w:p>
    <w:p w14:paraId="79D4355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F10A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7A325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DC79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7270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0670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AF8E9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2997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E6F0E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486BF9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75BD78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4F5A6F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D222A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967B2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2EB5B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0B451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634C0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84885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D75A7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0A1F9B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EDE8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7F584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3B03D5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482BB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21491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95CB2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D5F7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9363B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F4D28F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DA69F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308CC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C58ED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19987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D9301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0981F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247B2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6B2D2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4481BC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54A07D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5D93C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_Toc9685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C8FA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_Toc28140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D88F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F4371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BE1B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5A18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_Toc22367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3DEA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_Toc18746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3CD63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_Toc25585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899E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服务台</w:t>
          </w:r>
          <w:r>
            <w:rPr>
              <w:rFonts w:hint="eastAsia"/>
              <w:lang w:val="en-US" w:eastAsia="zh-CN"/>
            </w:rPr>
            <w:t>专员</w:t>
          </w:r>
          <w:r>
            <w:tab/>
          </w:r>
          <w:r>
            <w:fldChar w:fldCharType="begin"/>
          </w:r>
          <w:r>
            <w:instrText xml:space="preserve"> PAGEREF _Toc29349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027C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50B1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6C04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_Toc21873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BE3E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服务请求</w:t>
          </w:r>
          <w:r>
            <w:tab/>
          </w:r>
          <w:r>
            <w:fldChar w:fldCharType="begin"/>
          </w:r>
          <w:r>
            <w:instrText xml:space="preserve"> PAGEREF _Toc26629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6D2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F202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二线技术支持</w:t>
          </w:r>
          <w:r>
            <w:tab/>
          </w:r>
          <w:r>
            <w:fldChar w:fldCharType="begin"/>
          </w:r>
          <w:r>
            <w:instrText xml:space="preserve"> PAGEREF _Toc10736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81D3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_Toc29086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8DB6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接入与记录</w:t>
          </w:r>
          <w:r>
            <w:tab/>
          </w:r>
          <w:r>
            <w:fldChar w:fldCharType="begin"/>
          </w:r>
          <w:r>
            <w:instrText xml:space="preserve"> PAGEREF _Toc14515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4DD0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分类与初步支持</w:t>
          </w:r>
          <w:r>
            <w:tab/>
          </w:r>
          <w:r>
            <w:fldChar w:fldCharType="begin"/>
          </w:r>
          <w:r>
            <w:instrText xml:space="preserve"> PAGEREF _Toc16386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EBF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派发与升级</w:t>
          </w:r>
          <w:r>
            <w:tab/>
          </w:r>
          <w:r>
            <w:fldChar w:fldCharType="begin"/>
          </w:r>
          <w:r>
            <w:instrText xml:space="preserve"> PAGEREF _Toc12191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6AFA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调查与解决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106E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回访与关闭</w:t>
          </w:r>
          <w:r>
            <w:tab/>
          </w:r>
          <w:r>
            <w:fldChar w:fldCharType="begin"/>
          </w:r>
          <w:r>
            <w:instrText xml:space="preserve"> PAGEREF _Toc27856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0A1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监控上报事件处理</w:t>
          </w:r>
          <w:r>
            <w:tab/>
          </w:r>
          <w:r>
            <w:fldChar w:fldCharType="begin"/>
          </w:r>
          <w:r>
            <w:instrText xml:space="preserve"> PAGEREF _Toc12954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BF3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5064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9DA6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_Toc13485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A300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_Toc26002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567A2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3808D4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A7ABF2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8916"/>
      <w:r>
        <w:rPr>
          <w:rFonts w:hint="eastAsia"/>
          <w:lang w:val="en-US" w:eastAsia="zh-CN"/>
        </w:rPr>
        <w:t>总则</w:t>
      </w:r>
      <w:bookmarkEnd w:id="2"/>
    </w:p>
    <w:p w14:paraId="41C108F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6243"/>
      <w:r>
        <w:rPr>
          <w:rFonts w:hint="eastAsia"/>
          <w:lang w:val="en-US" w:eastAsia="zh-CN"/>
        </w:rPr>
        <w:t>目的</w:t>
      </w:r>
      <w:bookmarkEnd w:id="3"/>
    </w:p>
    <w:p w14:paraId="77B32E9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IT运维服务项目中服务台的管理与操作流程，明确服务台在事件与服务请求处理中的核心作用，确保对用户提交的咨询、事件及服务请求进行统一、规范、高效的全生命周期管理，合理分配资源，提升处置效率与用户满意度，特制定本制度。</w:t>
      </w:r>
    </w:p>
    <w:p w14:paraId="5184973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354"/>
      <w:r>
        <w:rPr>
          <w:rFonts w:hint="eastAsia"/>
          <w:lang w:val="en-US" w:eastAsia="zh-CN"/>
        </w:rPr>
        <w:t>适用范围</w:t>
      </w:r>
      <w:bookmarkEnd w:id="4"/>
    </w:p>
    <w:p w14:paraId="3EC59A8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本制度适用于公司所有IT运维服务项目团队，包括公司自身及所属运维分包责任单位组成的项目组，在向客户提供约定运维服务过程中，所有与服务台相关的管理及操作活动。</w:t>
      </w:r>
    </w:p>
    <w:p w14:paraId="7140C1D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367"/>
      <w:r>
        <w:rPr>
          <w:rFonts w:hint="eastAsia"/>
          <w:lang w:val="en-US" w:eastAsia="zh-CN"/>
        </w:rPr>
        <w:t>原则</w:t>
      </w:r>
      <w:bookmarkEnd w:id="5"/>
    </w:p>
    <w:p w14:paraId="7285DA40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统一接口原则：服务台作为接收所有事件和服务请求的唯一统一接口。</w:t>
      </w:r>
    </w:p>
    <w:p w14:paraId="5C87A27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用户导向原则：以快速恢复服务、最小化用户影响为首要目标。</w:t>
      </w:r>
    </w:p>
    <w:p w14:paraId="1AA0B52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过程透明原则：及时向用户反馈处理状态，确保过程可追溯、可监督。</w:t>
      </w:r>
    </w:p>
    <w:p w14:paraId="334A1130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持续改进原则：基于过程记录与分析，持续优化服务流程与质量。</w:t>
      </w:r>
    </w:p>
    <w:p w14:paraId="0FD86C1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746"/>
      <w:r>
        <w:rPr>
          <w:rFonts w:hint="eastAsia"/>
          <w:lang w:val="en-US" w:eastAsia="zh-CN"/>
        </w:rPr>
        <w:t>岗位职责</w:t>
      </w:r>
      <w:bookmarkEnd w:id="6"/>
    </w:p>
    <w:p w14:paraId="3BB49D78">
      <w:pPr>
        <w:pStyle w:val="31"/>
        <w:bidi w:val="0"/>
        <w:rPr>
          <w:rFonts w:hint="default"/>
          <w:lang w:val="en-US" w:eastAsia="zh-CN"/>
        </w:rPr>
      </w:pPr>
      <w:bookmarkStart w:id="7" w:name="_Toc25585"/>
      <w:r>
        <w:rPr>
          <w:rFonts w:hint="eastAsia"/>
          <w:lang w:val="en-US" w:eastAsia="zh-CN"/>
        </w:rPr>
        <w:t>运维管理部经理</w:t>
      </w:r>
      <w:bookmarkEnd w:id="7"/>
    </w:p>
    <w:p w14:paraId="6B24350C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全面负责服务台的运营管理，确保流程标准化实施。</w:t>
      </w:r>
    </w:p>
    <w:p w14:paraId="11F7DDF5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管理服务台人员，制定并优化服务流程与文档。</w:t>
      </w:r>
    </w:p>
    <w:p w14:paraId="24F95433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负责资源协调、事件升级、重大或复杂请求的处理协调。</w:t>
      </w:r>
    </w:p>
    <w:p w14:paraId="39E96983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跟进未解决事件的处理进程，督导服务质量，处理客户抱怨。</w:t>
      </w:r>
    </w:p>
    <w:p w14:paraId="205EF85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完成上级交付的其他相关工作。</w:t>
      </w:r>
    </w:p>
    <w:p w14:paraId="44830F8D">
      <w:pPr>
        <w:pStyle w:val="31"/>
        <w:bidi w:val="0"/>
        <w:rPr>
          <w:rFonts w:hint="default"/>
          <w:lang w:val="en-US" w:eastAsia="zh-CN"/>
        </w:rPr>
      </w:pPr>
      <w:bookmarkStart w:id="8" w:name="_Toc29349"/>
      <w:r>
        <w:rPr>
          <w:rFonts w:hint="default"/>
          <w:lang w:val="en-US" w:eastAsia="zh-CN"/>
        </w:rPr>
        <w:t>服务台</w:t>
      </w:r>
      <w:r>
        <w:rPr>
          <w:rFonts w:hint="eastAsia"/>
          <w:lang w:val="en-US" w:eastAsia="zh-CN"/>
        </w:rPr>
        <w:t>专员</w:t>
      </w:r>
      <w:bookmarkEnd w:id="8"/>
    </w:p>
    <w:p w14:paraId="755FCA83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提供5*12小时（特殊时期7*24小时）的远程应答服务。</w:t>
      </w:r>
    </w:p>
    <w:p w14:paraId="17D15C86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负责所有事件/服务请求的记录、分类、初步支持及全生命周期状态跟踪。</w:t>
      </w:r>
    </w:p>
    <w:p w14:paraId="7DC7869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负责将无法直接解决的事件派发给二线技术支持人员。</w:t>
      </w:r>
    </w:p>
    <w:p w14:paraId="18E3A87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执行解决后的用户回访、满意度调查及事件关闭操作。</w:t>
      </w:r>
    </w:p>
    <w:p w14:paraId="18D1AAA7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严格遵守保密规定，参加培训与考核，完成上级安排的工作。</w:t>
      </w:r>
    </w:p>
    <w:p w14:paraId="113DC8A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3282"/>
      <w:r>
        <w:rPr>
          <w:rFonts w:hint="eastAsia"/>
          <w:lang w:val="en-US" w:eastAsia="zh-CN"/>
        </w:rPr>
        <w:t>引用依据</w:t>
      </w:r>
      <w:bookmarkEnd w:id="9"/>
    </w:p>
    <w:p w14:paraId="7ABF6E83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75B4F29B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C01EB3B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3E51F2F1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52A4A3D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4606"/>
      <w:r>
        <w:rPr>
          <w:rFonts w:hint="eastAsia"/>
          <w:lang w:val="en-US" w:eastAsia="zh-CN"/>
        </w:rPr>
        <w:t>定义与术语</w:t>
      </w:r>
      <w:bookmarkEnd w:id="10"/>
    </w:p>
    <w:p w14:paraId="5950815B">
      <w:pPr>
        <w:pStyle w:val="30"/>
        <w:bidi w:val="0"/>
        <w:rPr>
          <w:rFonts w:hint="eastAsia"/>
        </w:rPr>
      </w:pPr>
      <w:bookmarkStart w:id="11" w:name="_Toc21873"/>
      <w:r>
        <w:rPr>
          <w:rFonts w:hint="eastAsia"/>
        </w:rPr>
        <w:t>事件</w:t>
      </w:r>
      <w:bookmarkEnd w:id="11"/>
    </w:p>
    <w:p w14:paraId="78205F08">
      <w:pPr>
        <w:pStyle w:val="29"/>
        <w:rPr>
          <w:rFonts w:hint="eastAsia"/>
        </w:rPr>
      </w:pPr>
      <w:r>
        <w:rPr>
          <w:rFonts w:hint="eastAsia"/>
        </w:rPr>
        <w:t>导致或可能导致IT服务中断或质量降低的任何非计划性事件。</w:t>
      </w:r>
    </w:p>
    <w:p w14:paraId="0796845A">
      <w:pPr>
        <w:pStyle w:val="30"/>
        <w:bidi w:val="0"/>
        <w:rPr>
          <w:rFonts w:hint="eastAsia"/>
        </w:rPr>
      </w:pPr>
      <w:bookmarkStart w:id="12" w:name="_Toc26629"/>
      <w:r>
        <w:rPr>
          <w:rFonts w:hint="eastAsia"/>
        </w:rPr>
        <w:t>服务请求</w:t>
      </w:r>
      <w:bookmarkEnd w:id="12"/>
    </w:p>
    <w:p w14:paraId="117AAAEC">
      <w:pPr>
        <w:pStyle w:val="29"/>
        <w:rPr>
          <w:rFonts w:hint="eastAsia"/>
        </w:rPr>
      </w:pPr>
      <w:r>
        <w:rPr>
          <w:rFonts w:hint="eastAsia"/>
        </w:rPr>
        <w:t>用户提出的、符合预定义标准的服务需求，如信息咨询、密码重置等。</w:t>
      </w:r>
    </w:p>
    <w:p w14:paraId="77870C93">
      <w:pPr>
        <w:pStyle w:val="30"/>
        <w:bidi w:val="0"/>
        <w:rPr>
          <w:rFonts w:hint="eastAsia"/>
        </w:rPr>
      </w:pPr>
      <w:bookmarkStart w:id="13" w:name="_Toc5487"/>
      <w:r>
        <w:rPr>
          <w:rFonts w:hint="eastAsia"/>
        </w:rPr>
        <w:t>服务台</w:t>
      </w:r>
      <w:bookmarkEnd w:id="13"/>
    </w:p>
    <w:p w14:paraId="5FADA199">
      <w:pPr>
        <w:pStyle w:val="29"/>
        <w:rPr>
          <w:rFonts w:hint="eastAsia"/>
        </w:rPr>
      </w:pPr>
      <w:r>
        <w:rPr>
          <w:rFonts w:hint="eastAsia"/>
        </w:rPr>
        <w:t>作为用户与IT服务提供商之间的单一联系点，负责处理事件与服务请求。</w:t>
      </w:r>
    </w:p>
    <w:p w14:paraId="063ED1FD">
      <w:pPr>
        <w:pStyle w:val="30"/>
        <w:bidi w:val="0"/>
        <w:rPr>
          <w:rFonts w:hint="eastAsia"/>
        </w:rPr>
      </w:pPr>
      <w:bookmarkStart w:id="14" w:name="_Toc10736"/>
      <w:r>
        <w:rPr>
          <w:rFonts w:hint="eastAsia"/>
        </w:rPr>
        <w:t>二线技术支持</w:t>
      </w:r>
      <w:bookmarkEnd w:id="14"/>
    </w:p>
    <w:p w14:paraId="28ED5D80">
      <w:pPr>
        <w:pStyle w:val="29"/>
      </w:pPr>
      <w:r>
        <w:rPr>
          <w:rFonts w:hint="eastAsia"/>
        </w:rPr>
        <w:t>具备特定领域专业知识的团队，负责接收并解决由服务台升级派发的复杂事件。</w:t>
      </w:r>
    </w:p>
    <w:p w14:paraId="2505A57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9086"/>
      <w:r>
        <w:rPr>
          <w:rFonts w:hint="eastAsia"/>
          <w:lang w:val="en-US" w:eastAsia="zh-CN"/>
        </w:rPr>
        <w:t>管理内容与要求</w:t>
      </w:r>
      <w:bookmarkEnd w:id="15"/>
    </w:p>
    <w:p w14:paraId="3A94DE54">
      <w:pPr>
        <w:pStyle w:val="30"/>
        <w:bidi w:val="0"/>
        <w:rPr>
          <w:rFonts w:hint="default"/>
          <w:lang w:val="en-US" w:eastAsia="zh-CN"/>
        </w:rPr>
      </w:pPr>
      <w:bookmarkStart w:id="16" w:name="_Toc14515"/>
      <w:r>
        <w:rPr>
          <w:rFonts w:hint="default"/>
          <w:lang w:val="en-US" w:eastAsia="zh-CN"/>
        </w:rPr>
        <w:t>接入与记录</w:t>
      </w:r>
      <w:bookmarkEnd w:id="16"/>
    </w:p>
    <w:p w14:paraId="7A18B90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服务台须通过有效手段（如电话、邮件、工单系统）统一接收所有用户事件与服务请求。</w:t>
      </w:r>
    </w:p>
    <w:p w14:paraId="1027A0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对所有接收项必须创建工单并进行完整、准确的记录，确保信息可追溯。</w:t>
      </w:r>
    </w:p>
    <w:p w14:paraId="22D6EA3D">
      <w:pPr>
        <w:pStyle w:val="40"/>
        <w:bidi w:val="0"/>
        <w:rPr>
          <w:rFonts w:hint="eastAsia"/>
        </w:rPr>
      </w:pPr>
      <w:r>
        <w:rPr>
          <w:rFonts w:hint="eastAsia"/>
        </w:rPr>
        <w:t>技术支持电话:</w:t>
      </w:r>
    </w:p>
    <w:p w14:paraId="4C30F054">
      <w:pPr>
        <w:pStyle w:val="40"/>
        <w:bidi w:val="0"/>
        <w:rPr>
          <w:rFonts w:hint="eastAsia"/>
        </w:rPr>
      </w:pPr>
      <w:r>
        <w:rPr>
          <w:rFonts w:hint="eastAsia"/>
        </w:rPr>
        <w:t>010-56036600</w:t>
      </w:r>
    </w:p>
    <w:p w14:paraId="15B52A01">
      <w:pPr>
        <w:pStyle w:val="40"/>
        <w:bidi w:val="0"/>
        <w:rPr>
          <w:rFonts w:hint="eastAsia"/>
        </w:rPr>
      </w:pPr>
      <w:r>
        <w:rPr>
          <w:rFonts w:hint="eastAsia"/>
        </w:rPr>
        <w:t>邮箱地址:</w:t>
      </w:r>
    </w:p>
    <w:p w14:paraId="368CE11E">
      <w:pPr>
        <w:pStyle w:val="40"/>
        <w:bidi w:val="0"/>
      </w:pPr>
      <w:r>
        <w:rPr>
          <w:rFonts w:hint="eastAsia"/>
        </w:rPr>
        <w:t>yangcan@vanhr.net</w:t>
      </w:r>
      <w:bookmarkStart w:id="29" w:name="_GoBack"/>
      <w:bookmarkEnd w:id="29"/>
    </w:p>
    <w:p w14:paraId="42202382">
      <w:pPr>
        <w:pStyle w:val="30"/>
        <w:bidi w:val="0"/>
        <w:rPr>
          <w:rFonts w:hint="default"/>
          <w:lang w:val="en-US" w:eastAsia="zh-CN"/>
        </w:rPr>
      </w:pPr>
      <w:bookmarkStart w:id="17" w:name="_Toc16386"/>
      <w:r>
        <w:rPr>
          <w:rFonts w:hint="default"/>
          <w:lang w:val="en-US" w:eastAsia="zh-CN"/>
        </w:rPr>
        <w:t>分类与初步支持</w:t>
      </w:r>
      <w:bookmarkEnd w:id="17"/>
    </w:p>
    <w:p w14:paraId="33E499E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服务台坐席需对事件/服务请求进行规范化分类与优先级判定。</w:t>
      </w:r>
    </w:p>
    <w:p w14:paraId="5F279D8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应基于知识库提供初步的技术支持与解决方案，力争在服务台一线解决。</w:t>
      </w:r>
    </w:p>
    <w:p w14:paraId="6DAB624E">
      <w:pPr>
        <w:pStyle w:val="30"/>
        <w:bidi w:val="0"/>
        <w:rPr>
          <w:rFonts w:hint="default"/>
          <w:lang w:val="en-US" w:eastAsia="zh-CN"/>
        </w:rPr>
      </w:pPr>
      <w:bookmarkStart w:id="18" w:name="_Toc12191"/>
      <w:r>
        <w:rPr>
          <w:rFonts w:hint="default"/>
          <w:lang w:val="en-US" w:eastAsia="zh-CN"/>
        </w:rPr>
        <w:t>派发与升级</w:t>
      </w:r>
      <w:bookmarkEnd w:id="18"/>
    </w:p>
    <w:p w14:paraId="0BBE32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对于服务台无法直接解决的事件，应在规定时间内（如15分钟内）派发至相应的二线技术支持人员或团队。</w:t>
      </w:r>
    </w:p>
    <w:p w14:paraId="2A16602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派发过程需明确指派对象，并确保信息传递的完整性与准确性。</w:t>
      </w:r>
    </w:p>
    <w:p w14:paraId="72C4E7DD">
      <w:pPr>
        <w:pStyle w:val="30"/>
        <w:bidi w:val="0"/>
        <w:rPr>
          <w:rFonts w:hint="default"/>
          <w:lang w:val="en-US" w:eastAsia="zh-CN"/>
        </w:rPr>
      </w:pPr>
      <w:bookmarkStart w:id="19" w:name="_Toc16030"/>
      <w:r>
        <w:rPr>
          <w:rFonts w:hint="default"/>
          <w:lang w:val="en-US" w:eastAsia="zh-CN"/>
        </w:rPr>
        <w:t>调查与解决</w:t>
      </w:r>
      <w:bookmarkEnd w:id="19"/>
    </w:p>
    <w:p w14:paraId="46004C3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二线技术支持人员负责对事件进行深入调查、诊断，并实施有效的解决方案或临时性恢复措施。</w:t>
      </w:r>
    </w:p>
    <w:p w14:paraId="43BFF5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事件解决后，处理人员需将解决方案与处理结果反馈至服务台。</w:t>
      </w:r>
    </w:p>
    <w:p w14:paraId="3D73B1F2">
      <w:pPr>
        <w:pStyle w:val="30"/>
        <w:bidi w:val="0"/>
        <w:rPr>
          <w:rFonts w:hint="default"/>
          <w:lang w:val="en-US" w:eastAsia="zh-CN"/>
        </w:rPr>
      </w:pPr>
      <w:bookmarkStart w:id="20" w:name="_Toc27856"/>
      <w:r>
        <w:rPr>
          <w:rFonts w:hint="default"/>
          <w:lang w:val="en-US" w:eastAsia="zh-CN"/>
        </w:rPr>
        <w:t>回访与关闭</w:t>
      </w:r>
      <w:bookmarkEnd w:id="20"/>
    </w:p>
    <w:p w14:paraId="39BE92E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所有已解决的事件/服务请求必须由服务台进行用户回访，确认解决情况并收集用户满意度反馈。</w:t>
      </w:r>
    </w:p>
    <w:p w14:paraId="61B452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经用户确认解决后，由服务台坐席规范关闭工单。若用户反馈未解决，则工单需退回至处理环节重新处理。</w:t>
      </w:r>
    </w:p>
    <w:p w14:paraId="7AA34723">
      <w:pPr>
        <w:pStyle w:val="30"/>
        <w:bidi w:val="0"/>
        <w:rPr>
          <w:rFonts w:hint="default"/>
          <w:lang w:val="en-US" w:eastAsia="zh-CN"/>
        </w:rPr>
      </w:pPr>
      <w:bookmarkStart w:id="21" w:name="_Toc12954"/>
      <w:r>
        <w:rPr>
          <w:rFonts w:hint="default"/>
          <w:lang w:val="en-US" w:eastAsia="zh-CN"/>
        </w:rPr>
        <w:t>监控上报事件处理</w:t>
      </w:r>
      <w:bookmarkEnd w:id="21"/>
    </w:p>
    <w:p w14:paraId="10CB278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通过监控工具发现的系统异常，应由值班人员主动创建事件工单。</w:t>
      </w:r>
    </w:p>
    <w:p w14:paraId="409186B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若能立即解决，则处理后反馈至服务台进行回访关闭；若不能，则按标准派发流程处理。</w:t>
      </w:r>
    </w:p>
    <w:p w14:paraId="6118CF21">
      <w:pPr>
        <w:pStyle w:val="30"/>
        <w:bidi w:val="0"/>
        <w:rPr>
          <w:rFonts w:hint="default"/>
          <w:lang w:val="en-US" w:eastAsia="zh-CN"/>
        </w:rPr>
      </w:pPr>
      <w:bookmarkStart w:id="22" w:name="_Toc2633"/>
      <w:r>
        <w:rPr>
          <w:rFonts w:hint="eastAsia"/>
          <w:lang w:val="en-US" w:eastAsia="zh-CN"/>
        </w:rPr>
        <w:t>考核指标</w:t>
      </w:r>
      <w:bookmarkEnd w:id="2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 w14:paraId="233B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3A213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 w14:paraId="6FD9B3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 w14:paraId="374FC4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91D4A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0490D5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4BAE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7BDA7B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 w14:paraId="4E0B35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一线问题解决率</w:t>
            </w:r>
          </w:p>
        </w:tc>
        <w:tc>
          <w:tcPr>
            <w:tcW w:w="3427" w:type="dxa"/>
          </w:tcPr>
          <w:p w14:paraId="38980B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1107" w:type="dxa"/>
          </w:tcPr>
          <w:p w14:paraId="4F1C24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 w14:paraId="3C07AF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≥90%</w:t>
            </w:r>
          </w:p>
        </w:tc>
      </w:tr>
    </w:tbl>
    <w:p w14:paraId="04BA1AB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3" w:name="bookmark3"/>
      <w:bookmarkEnd w:id="23"/>
      <w:bookmarkStart w:id="24" w:name="_Toc17424"/>
      <w:bookmarkStart w:id="25" w:name="_Toc31108"/>
      <w:r>
        <w:rPr>
          <w:rStyle w:val="38"/>
          <w:rFonts w:hint="eastAsia" w:eastAsia="宋体"/>
          <w:lang w:val="en-US" w:eastAsia="zh-CN"/>
        </w:rPr>
        <w:t>附则</w:t>
      </w:r>
      <w:bookmarkEnd w:id="24"/>
      <w:bookmarkEnd w:id="25"/>
    </w:p>
    <w:p w14:paraId="5D7D2AB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3F578E7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258913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bookmark14"/>
      <w:bookmarkEnd w:id="26"/>
      <w:bookmarkStart w:id="27" w:name="_Toc13485"/>
      <w:r>
        <w:rPr>
          <w:rFonts w:hint="eastAsia"/>
          <w:lang w:val="en-US" w:eastAsia="zh-CN"/>
        </w:rPr>
        <w:t>附件</w:t>
      </w:r>
      <w:bookmarkEnd w:id="27"/>
    </w:p>
    <w:p w14:paraId="72E83A7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73B4C3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6002"/>
      <w:r>
        <w:rPr>
          <w:rFonts w:hint="eastAsia"/>
          <w:lang w:val="en-US" w:eastAsia="zh-CN"/>
        </w:rPr>
        <w:t>记录</w:t>
      </w:r>
      <w:bookmarkEnd w:id="28"/>
    </w:p>
    <w:p w14:paraId="47DD621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4486B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D874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97EB763"/>
    <w:multiLevelType w:val="singleLevel"/>
    <w:tmpl w:val="097EB7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2EB46D7"/>
    <w:multiLevelType w:val="singleLevel"/>
    <w:tmpl w:val="22EB46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7C6340"/>
    <w:multiLevelType w:val="singleLevel"/>
    <w:tmpl w:val="337C63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3C09D75"/>
    <w:multiLevelType w:val="singleLevel"/>
    <w:tmpl w:val="53C09D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2E4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1670</Words>
  <Characters>1882</Characters>
  <Lines>0</Lines>
  <Paragraphs>0</Paragraphs>
  <TotalTime>23</TotalTime>
  <ScaleCrop>false</ScaleCrop>
  <LinksUpToDate>false</LinksUpToDate>
  <CharactersWithSpaces>1999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2026-01-12T01:15:24Z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