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350"/>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12990"/>
      <w:r>
        <w:rPr>
          <w:rFonts w:hint="eastAsia"/>
          <w:lang w:val="en-US" w:eastAsia="zh-CN"/>
        </w:rPr>
        <w:t>服务知识管理制度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-01-0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_Toc10350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_Toc10350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_Toc12990 </w:instrText>
          </w:r>
          <w:r>
            <w:rPr>
              <w:rFonts w:ascii="宋体" w:eastAsia="宋体" w:hAnsi="宋体" w:cs="宋体" w:hint="eastAsia"/>
              <w:szCs w:val="24"/>
            </w:rPr>
            <w:fldChar w:fldCharType="separate"/>
          </w:r>
          <w:r>
            <w:rPr>
              <w:rFonts w:hint="eastAsia"/>
              <w:lang w:val="en-US" w:eastAsia="zh-CN"/>
            </w:rPr>
            <w:t>服务知识管理制度</w:t>
          </w:r>
          <w:r>
            <w:tab/>
          </w:r>
          <w:r>
            <w:fldChar w:fldCharType="begin"/>
          </w:r>
          <w:r>
            <w:instrText xml:space="preserve"> PAGEREF _Toc12990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_Toc2760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_Toc10155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_Toc10155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_Toc1068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_Toc1068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_Toc11937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_Toc11937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_Toc8967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_Toc8967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_Toc3959 </w:instrText>
          </w:r>
          <w:r>
            <w:rPr>
              <w:rFonts w:ascii="宋体" w:eastAsia="宋体" w:hAnsi="宋体" w:cs="宋体" w:hint="eastAsia"/>
              <w:szCs w:val="24"/>
            </w:rPr>
            <w:fldChar w:fldCharType="separate"/>
          </w:r>
          <w:r>
            <w:rPr>
              <w:rFonts w:hint="default"/>
              <w:lang w:val="en-US" w:eastAsia="zh-CN"/>
            </w:rPr>
            <w:t>1.4.1. 运维管理部</w:t>
          </w:r>
          <w:r>
            <w:tab/>
          </w:r>
          <w:r>
            <w:fldChar w:fldCharType="begin"/>
          </w:r>
          <w:r>
            <w:instrText xml:space="preserve"> PAGEREF _Toc3959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_Toc15982 </w:instrText>
          </w:r>
          <w:r>
            <w:rPr>
              <w:rFonts w:ascii="宋体" w:eastAsia="宋体" w:hAnsi="宋体" w:cs="宋体" w:hint="eastAsia"/>
              <w:szCs w:val="24"/>
            </w:rPr>
            <w:fldChar w:fldCharType="separate"/>
          </w:r>
          <w:r>
            <w:rPr>
              <w:rFonts w:hint="default"/>
              <w:lang w:val="en-US" w:eastAsia="zh-CN"/>
            </w:rPr>
            <w:t>1.4.2. 质量效能部</w:t>
          </w:r>
          <w:r>
            <w:tab/>
          </w:r>
          <w:r>
            <w:fldChar w:fldCharType="begin"/>
          </w:r>
          <w:r>
            <w:instrText xml:space="preserve"> PAGEREF _Toc15982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_Toc8480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服务知识专员</w:t>
          </w:r>
          <w:r>
            <w:tab/>
          </w:r>
          <w:r>
            <w:fldChar w:fldCharType="begin"/>
          </w:r>
          <w:r>
            <w:instrText xml:space="preserve"> PAGEREF _Toc8480 \h </w:instrText>
          </w:r>
          <w:r>
            <w:fldChar w:fldCharType="separate"/>
          </w:r>
          <w:r>
            <w:t>5</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_Toc1271 </w:instrText>
          </w:r>
          <w:r>
            <w:rPr>
              <w:rFonts w:ascii="宋体" w:eastAsia="宋体" w:hAnsi="宋体" w:cs="宋体" w:hint="eastAsia"/>
              <w:szCs w:val="24"/>
            </w:rPr>
            <w:fldChar w:fldCharType="separate"/>
          </w:r>
          <w:r>
            <w:rPr>
              <w:rFonts w:hint="default"/>
              <w:lang w:val="en-US" w:eastAsia="zh-CN"/>
            </w:rPr>
            <w:t>1.4.4. 全体运维人员（知识提交人）</w:t>
          </w:r>
          <w:r>
            <w:tab/>
          </w:r>
          <w:r>
            <w:fldChar w:fldCharType="begin"/>
          </w:r>
          <w:r>
            <w:instrText xml:space="preserve"> PAGEREF _Toc1271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_Toc26014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_Toc26014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_Toc20302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_Toc20302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_Toc7871 </w:instrText>
          </w:r>
          <w:r>
            <w:rPr>
              <w:rFonts w:ascii="宋体" w:eastAsia="宋体" w:hAnsi="宋体" w:cs="宋体" w:hint="eastAsia"/>
              <w:szCs w:val="24"/>
            </w:rPr>
            <w:fldChar w:fldCharType="separate"/>
          </w:r>
          <w:r>
            <w:rPr>
              <w:rFonts w:hint="default"/>
            </w:rPr>
            <w:t xml:space="preserve">3.1. </w:t>
          </w:r>
          <w:r>
            <w:rPr>
              <w:rFonts w:hint="eastAsia"/>
              <w:lang w:val="en-US" w:eastAsia="zh-CN"/>
            </w:rPr>
            <w:t>服务</w:t>
          </w:r>
          <w:r>
            <w:rPr>
              <w:rFonts w:hint="eastAsia"/>
            </w:rPr>
            <w:t>知识</w:t>
          </w:r>
          <w:r>
            <w:tab/>
          </w:r>
          <w:r>
            <w:fldChar w:fldCharType="begin"/>
          </w:r>
          <w:r>
            <w:instrText xml:space="preserve"> PAGEREF _Toc7871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_Toc15515 </w:instrText>
          </w:r>
          <w:r>
            <w:rPr>
              <w:rFonts w:ascii="宋体" w:eastAsia="宋体" w:hAnsi="宋体" w:cs="宋体" w:hint="eastAsia"/>
              <w:szCs w:val="24"/>
            </w:rPr>
            <w:fldChar w:fldCharType="separate"/>
          </w:r>
          <w:r>
            <w:rPr>
              <w:rFonts w:hint="default"/>
            </w:rPr>
            <w:t xml:space="preserve">3.2. </w:t>
          </w:r>
          <w:r>
            <w:rPr>
              <w:rFonts w:hint="eastAsia"/>
            </w:rPr>
            <w:t>知识生命周期</w:t>
          </w:r>
          <w:r>
            <w:tab/>
          </w:r>
          <w:r>
            <w:fldChar w:fldCharType="begin"/>
          </w:r>
          <w:r>
            <w:instrText xml:space="preserve"> PAGEREF _Toc15515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_Toc26990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_Toc26990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_Toc3825 </w:instrText>
          </w:r>
          <w:r>
            <w:rPr>
              <w:rFonts w:ascii="宋体" w:eastAsia="宋体" w:hAnsi="宋体" w:cs="宋体" w:hint="eastAsia"/>
              <w:szCs w:val="24"/>
            </w:rPr>
            <w:fldChar w:fldCharType="separate"/>
          </w:r>
          <w:r>
            <w:rPr>
              <w:rFonts w:hint="default"/>
              <w:lang w:val="en-US" w:eastAsia="zh-CN"/>
            </w:rPr>
            <w:t>4.1. 知识的识别与范围</w:t>
          </w:r>
          <w:r>
            <w:tab/>
          </w:r>
          <w:r>
            <w:fldChar w:fldCharType="begin"/>
          </w:r>
          <w:r>
            <w:instrText xml:space="preserve"> PAGEREF _Toc3825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_Toc7392 </w:instrText>
          </w:r>
          <w:r>
            <w:rPr>
              <w:rFonts w:ascii="宋体" w:eastAsia="宋体" w:hAnsi="宋体" w:cs="宋体" w:hint="eastAsia"/>
              <w:szCs w:val="24"/>
            </w:rPr>
            <w:fldChar w:fldCharType="separate"/>
          </w:r>
          <w:r>
            <w:rPr>
              <w:rFonts w:hint="default"/>
              <w:lang w:val="en-US" w:eastAsia="zh-CN"/>
            </w:rPr>
            <w:t>4.2. 知识提交要求</w:t>
          </w:r>
          <w:r>
            <w:tab/>
          </w:r>
          <w:r>
            <w:fldChar w:fldCharType="begin"/>
          </w:r>
          <w:r>
            <w:instrText xml:space="preserve"> PAGEREF _Toc7392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_Toc12383 </w:instrText>
          </w:r>
          <w:r>
            <w:rPr>
              <w:rFonts w:ascii="宋体" w:eastAsia="宋体" w:hAnsi="宋体" w:cs="宋体" w:hint="eastAsia"/>
              <w:szCs w:val="24"/>
            </w:rPr>
            <w:fldChar w:fldCharType="separate"/>
          </w:r>
          <w:r>
            <w:rPr>
              <w:rFonts w:hint="default"/>
              <w:lang w:val="en-US" w:eastAsia="zh-CN"/>
            </w:rPr>
            <w:t>4.3. 知识内容规范</w:t>
          </w:r>
          <w:r>
            <w:tab/>
          </w:r>
          <w:r>
            <w:fldChar w:fldCharType="begin"/>
          </w:r>
          <w:r>
            <w:instrText xml:space="preserve"> PAGEREF _Toc12383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_Toc21483 </w:instrText>
          </w:r>
          <w:r>
            <w:rPr>
              <w:rFonts w:ascii="宋体" w:eastAsia="宋体" w:hAnsi="宋体" w:cs="宋体" w:hint="eastAsia"/>
              <w:szCs w:val="24"/>
            </w:rPr>
            <w:fldChar w:fldCharType="separate"/>
          </w:r>
          <w:r>
            <w:rPr>
              <w:rFonts w:hint="default"/>
              <w:lang w:val="en-US" w:eastAsia="zh-CN"/>
            </w:rPr>
            <w:t>4.4. 知识流程管理</w:t>
          </w:r>
          <w:r>
            <w:tab/>
          </w:r>
          <w:r>
            <w:fldChar w:fldCharType="begin"/>
          </w:r>
          <w:r>
            <w:instrText xml:space="preserve"> PAGEREF _Toc21483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_Toc19803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_Toc19803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_Toc31297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_Toc31297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_Toc6039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_Toc6039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_Toc17520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_Toc17520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760"/>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0155"/>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知识（以下简称“知识”）的获取、审核、共享、使用及维护过程，构建并持续完善组织过程资产，实现知识的有效积累、共享与复用，提升运维服务效率、质量及人员能力，支持主动预防性运维，保障运维服务体系的持续改进与稳定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068"/>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本制度适用于公司内所有参与运维服务活动及接触运维服务知识的部门与人员，包括但不限于运维管理部、研发部、质量效能部、人力资源部及采购部。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1937"/>
      <w:r>
        <w:rPr>
          <w:rFonts w:hint="eastAsia"/>
          <w:lang w:val="en-US" w:eastAsia="zh-CN"/>
        </w:rPr>
        <w:t>原则</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准确性原则：所有入库知识必须经过严格审核，确保内容准确、有效。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共享性原则：知识应在授权范围内充分共享，促进经验传承与能力提升。</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持续性原则：知识库需进行持续更新与定期复审，以保持其时效性和适用性。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价值导向原则：知识的采集与提炼应聚焦于对解决实际问题、提升服务效能具有指导价值的经验与方案。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8967"/>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3959"/>
      <w:r>
        <w:rPr>
          <w:rFonts w:hint="default"/>
          <w:lang w:val="en-US" w:eastAsia="zh-CN"/>
        </w:rPr>
        <w:t>运维管理部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作为知识的主要产生和使用部门，负责组织运维工程师提交知识、提名部门内知识审核人，并推动知识的日常应用与反馈。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5982"/>
      <w:r>
        <w:rPr>
          <w:rFonts w:hint="default"/>
          <w:lang w:val="en-US" w:eastAsia="zh-CN"/>
        </w:rPr>
        <w:t>质量效能部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负责监督知识管理全过程的质量，确保流程符合ITSS标准及公司质量管理体系要求，并可提名跨部门知识审核人。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8480"/>
      <w:r>
        <w:rPr>
          <w:rFonts w:hint="eastAsia"/>
          <w:lang w:val="en-US" w:eastAsia="zh-CN"/>
        </w:rPr>
        <w:t>服务知识专员</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通常由运维管理部指定专人担任，负责知识的最终发布、分类、存储、归档、共享推广及组织定期复审。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271"/>
      <w:r>
        <w:rPr>
          <w:rFonts w:hint="default"/>
          <w:lang w:val="en-US" w:eastAsia="zh-CN"/>
        </w:rPr>
        <w:t>全体运维人员（知识提交人）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负责在日常工作中识别、提炼并提交知识，对知识库中过时或错误的内容及时反馈。</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6014"/>
      <w:r>
        <w:rPr>
          <w:rFonts w:hint="eastAsia"/>
          <w:lang w:val="en-US" w:eastAsia="zh-CN"/>
        </w:rPr>
        <w:t>引用依据</w:t>
      </w:r>
      <w:bookmarkEnd w:id="12"/>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0302"/>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7871"/>
      <w:r>
        <w:rPr>
          <w:rFonts w:hint="eastAsia"/>
          <w:lang w:val="en-US" w:eastAsia="zh-CN"/>
        </w:rPr>
        <w:t>服务</w:t>
      </w:r>
      <w:r>
        <w:rPr>
          <w:rFonts w:hint="eastAsia"/>
        </w:rPr>
        <w:t>知识</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运维服务过程中，通过对问题的分析、事件的解决及经验的积累所形成的，能够指导未来工作、提升运维效率与质量的系统性信息。主要包括但不限于：已验证的解决方案、故障处理方案、问题与已知错误、标准操作程序、技术白皮书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用于存储、管理、共享知识的信息系统，是组织过程资产的核心组成部分。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5515"/>
      <w:r>
        <w:rPr>
          <w:rFonts w:hint="eastAsia"/>
        </w:rPr>
        <w:t>知识生命周期</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指知识从识别、提交、审核、发布、使用、复审到归档或废止的全过程。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26990"/>
      <w:r>
        <w:rPr>
          <w:rFonts w:hint="eastAsia"/>
          <w:lang w:val="en-US" w:eastAsia="zh-CN"/>
        </w:rPr>
        <w:t>管理内容与要求</w:t>
      </w:r>
      <w:bookmarkEnd w:id="16"/>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3825"/>
      <w:r>
        <w:rPr>
          <w:rFonts w:hint="default"/>
          <w:lang w:val="en-US" w:eastAsia="zh-CN"/>
        </w:rPr>
        <w:t>知识的识别与范围</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在运维服务活动中，以下内容应被识别并提炼为知识：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重大事件、问题的根本原因分析与最终解决方案。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已验证可复用于解决某一类事件或问题的标准化解决方案。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常见的已知错误及其规避或临时处理措施。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标准化的系统配置、操作手册、巡检清单等技术文档。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其他对运维工作具有显著指导意义的技术与管理经验。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7392"/>
      <w:r>
        <w:rPr>
          <w:rFonts w:hint="default"/>
          <w:lang w:val="en-US" w:eastAsia="zh-CN"/>
        </w:rPr>
        <w:t>知识提交要求</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各运维工程师应按季度指标要求，完成规定数量且通过审核的知识提交。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知识提交应遵循“随产生、随提交”的原则，确保知识的及时性。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提交人须确保知识内容真实、来源清晰，并使用公司规定的统一模板。</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12383"/>
      <w:r>
        <w:rPr>
          <w:rFonts w:hint="default"/>
          <w:lang w:val="en-US" w:eastAsia="zh-CN"/>
        </w:rPr>
        <w:t>知识内容规范</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标题规范： 格式为“【分类】+ 核心问题现象简述”，要求简洁、明确。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内容结构： 必须包含“症状描述”和“解决方案”两部分。症状描述应清晰阐述现象、环境等信息；解决方案应详述分析过程、操作步骤及验证结果。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信息脱敏： 内容中不得出现客户敏感信息、个人隐私、具体人员姓名及具体时间等。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格式与版权： 必须使用公司规定的知识文档格式。引用互联网内容需清除原文格式及水印，并注明出处，禁止直接复制粘贴。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1483"/>
      <w:r>
        <w:rPr>
          <w:rFonts w:hint="default"/>
          <w:lang w:val="en-US" w:eastAsia="zh-CN"/>
        </w:rPr>
        <w:t>知识流程管理</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知识生命周期管理遵循以下核心流程，具体流程图见附件一。</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 知识提交人收集素材，填写《知识提交单》（附件二），提交至知识审核人。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 知识审核人对知识的准确性、价值性、规范性进行评审，给出“通过”、“修改后提交”或“驳回”的结论。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发布： 知识管理员对审核通过的知识进行最终格式校对、分类与编码，并发布至知识库，通知相关人员。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使用与共享：全体员工应优先在知识库中检索解决方案。知识管理员应通过多种方式推广重要知识的应用。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定期复审：知识管理员每年至少组织一次全面复审，由知识审核人对库内知识的有效性进行评定，确定其状态为“有效”、“需更新”或“废止”。</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9803"/>
      <w:r>
        <w:rPr>
          <w:rFonts w:hint="eastAsia"/>
          <w:lang w:val="en-US" w:eastAsia="zh-CN"/>
        </w:rPr>
        <w:t>考核指标</w:t>
      </w:r>
      <w:bookmarkEnd w:id="21"/>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服务知识利用率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（引用知识库解决的工单数/考核期内工单总数）*100%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≥50</w:t>
            </w:r>
            <w:r>
              <w:rPr>
                <w:rFonts w:hint="eastAsia"/>
                <w:sz w:val="21"/>
                <w:szCs w:val="21"/>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服务知识新增条目</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数量，每季度新录入的服务知识</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30条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2" w:name="bookmark3"/>
      <w:bookmarkEnd w:id="22"/>
      <w:bookmarkStart w:id="23" w:name="_Toc31297"/>
      <w:bookmarkStart w:id="24" w:name="_Toc17424"/>
      <w:r>
        <w:rPr>
          <w:rStyle w:val="1Char"/>
          <w:rFonts w:eastAsia="宋体" w:hint="eastAsia"/>
          <w:lang w:val="en-US" w:eastAsia="zh-CN"/>
        </w:rPr>
        <w:t>附则</w:t>
      </w:r>
      <w:bookmarkEnd w:id="23"/>
      <w:bookmarkEnd w:id="24"/>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运维管理部</w:t>
      </w:r>
      <w:r>
        <w:rPr>
          <w:rFonts w:ascii="宋体" w:eastAsia="宋体" w:hAnsi="宋体" w:cs="宋体"/>
          <w:spacing w:val="-1"/>
          <w:sz w:val="24"/>
          <w:szCs w:val="24"/>
        </w:rPr>
        <w:t>。</w:t>
      </w:r>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bookmark14"/>
      <w:bookmarkEnd w:id="25"/>
      <w:bookmarkStart w:id="26" w:name="_Toc6039"/>
      <w:r>
        <w:rPr>
          <w:rFonts w:hint="eastAsia"/>
          <w:lang w:val="en-US" w:eastAsia="zh-CN"/>
        </w:rPr>
        <w:t>附件</w:t>
      </w:r>
      <w:bookmarkEnd w:id="26"/>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7" w:name="_Toc17520"/>
      <w:r>
        <w:rPr>
          <w:rFonts w:hint="eastAsia"/>
          <w:lang w:val="en-US" w:eastAsia="zh-CN"/>
        </w:rPr>
        <w:t>记录</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F05015D"/>
    <w:multiLevelType w:val="singleLevel"/>
    <w:tmpl w:val="1F05015D"/>
    <w:lvl w:ilvl="0">
      <w:start w:val="1"/>
      <w:numFmt w:val="decimal"/>
      <w:lvlText w:val="%1."/>
      <w:lvlJc w:val="left"/>
      <w:pPr>
        <w:ind w:left="425" w:hanging="425"/>
      </w:pPr>
      <w:rPr>
        <w:rFonts w:hint="default"/>
      </w:rPr>
    </w:lvl>
  </w:abstractNum>
  <w:abstractNum w:abstractNumId="2">
    <w:nsid w:val="2599922A"/>
    <w:multiLevelType w:val="singleLevel"/>
    <w:tmpl w:val="2599922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1952</Words>
  <Characters>2130</Characters>
  <Application>Microsoft Office Word</Application>
  <DocSecurity>0</DocSecurity>
  <Lines>0</Lines>
  <Paragraphs>0</Paragraphs>
  <ScaleCrop>false</ScaleCrop>
  <Company/>
  <LinksUpToDate>false</LinksUpToDate>
  <CharactersWithSpaces>2247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