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GoBack"/>
      <w:bookmarkStart w:id="1" w:name="_Toc14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30834"/>
      <w:r>
        <w:rPr>
          <w:rFonts w:hint="eastAsia"/>
          <w:lang w:val="en-US" w:eastAsia="zh-CN"/>
        </w:rPr>
        <w:t>最终软件库管理制度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_Toc30834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最终软件库管理制度</w:t>
          </w:r>
          <w:r>
            <w:tab/>
          </w:r>
          <w:r>
            <w:fldChar w:fldCharType="begin"/>
          </w:r>
          <w:r>
            <w:instrText xml:space="preserve"> PAGEREF _Toc30834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_Toc426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_Toc21381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_Toc21381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_Toc5535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_Toc26565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_Toc10662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_Toc30204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运维管理部</w:t>
          </w:r>
          <w:r>
            <w:tab/>
          </w:r>
          <w:r>
            <w:fldChar w:fldCharType="begin"/>
          </w:r>
          <w:r>
            <w:instrText xml:space="preserve"> PAGEREF _Toc30204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采购部</w:t>
          </w:r>
          <w:r>
            <w:tab/>
          </w:r>
          <w:r>
            <w:fldChar w:fldCharType="begin"/>
          </w:r>
          <w:r>
            <w:instrText xml:space="preserve"> PAGEREF _Toc27195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质量效能部</w:t>
          </w:r>
          <w:r>
            <w:tab/>
          </w:r>
          <w:r>
            <w:fldChar w:fldCharType="begin"/>
          </w:r>
          <w:r>
            <w:instrText xml:space="preserve"> PAGEREF _Toc5161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1.4.4. 研发部</w:t>
          </w:r>
          <w:r>
            <w:tab/>
          </w:r>
          <w:r>
            <w:fldChar w:fldCharType="begin"/>
          </w:r>
          <w:r>
            <w:instrText xml:space="preserve"> PAGEREF _Toc2833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_Toc28215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1.4.5. 人力资源部</w:t>
          </w:r>
          <w:r>
            <w:tab/>
          </w:r>
          <w:r>
            <w:fldChar w:fldCharType="begin"/>
          </w:r>
          <w:r>
            <w:instrText xml:space="preserve"> PAGEREF _Toc28215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_Toc15195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_Toc15195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_Toc17818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软件库</w:t>
          </w:r>
          <w:r>
            <w:tab/>
          </w:r>
          <w:r>
            <w:fldChar w:fldCharType="begin"/>
          </w:r>
          <w:r>
            <w:instrText xml:space="preserve"> PAGEREF _Toc4488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_Toc28333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软件资产</w:t>
          </w:r>
          <w:r>
            <w:tab/>
          </w:r>
          <w:r>
            <w:fldChar w:fldCharType="begin"/>
          </w:r>
          <w:r>
            <w:instrText xml:space="preserve"> PAGEREF _Toc28333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_Toc20900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基线版本</w:t>
          </w:r>
          <w:r>
            <w:tab/>
          </w:r>
          <w:r>
            <w:fldChar w:fldCharType="begin"/>
          </w:r>
          <w:r>
            <w:instrText xml:space="preserve"> PAGEREF _Toc20900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_Toc16888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_Toc16888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软件分类与分级</w:t>
          </w:r>
          <w:r>
            <w:tab/>
          </w:r>
          <w:r>
            <w:fldChar w:fldCharType="begin"/>
          </w:r>
          <w:r>
            <w:instrText xml:space="preserve"> PAGEREF _Toc19455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软件引入与入库</w:t>
          </w:r>
          <w:r>
            <w:tab/>
          </w:r>
          <w:r>
            <w:fldChar w:fldCharType="begin"/>
          </w:r>
          <w:r>
            <w:instrText xml:space="preserve"> PAGEREF _Toc26837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_Toc15813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软件存储与版本控制</w:t>
          </w:r>
          <w:r>
            <w:tab/>
          </w:r>
          <w:r>
            <w:fldChar w:fldCharType="begin"/>
          </w:r>
          <w:r>
            <w:instrText xml:space="preserve"> PAGEREF _Toc15813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软件发布与部署</w:t>
          </w:r>
          <w:r>
            <w:tab/>
          </w:r>
          <w:r>
            <w:fldChar w:fldCharType="begin"/>
          </w:r>
          <w:r>
            <w:instrText xml:space="preserve"> PAGEREF _Toc26633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软件维护与退役</w:t>
          </w:r>
          <w:r>
            <w:tab/>
          </w:r>
          <w:r>
            <w:fldChar w:fldCharType="begin"/>
          </w:r>
          <w:r>
            <w:instrText xml:space="preserve"> PAGEREF _Toc11187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_Toc8263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_Toc12040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_Toc31678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_Toc31678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_Toc12128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426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1381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为规范公司运维服务所需软件资产的获取、存储、发布、使用及退役全过程，确保软件来源的合规性、版本的受控性及使用安全性，提高软件复用率与运维效率，降低软件许可与安全风险，特制定本制度。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5535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本制度适用于公司运维服务活动中所使用的所有软件，包括系统软件、支撑软件、应用软件及相关补丁与插件，涉及运维管理部、研发部、质量效能部、人力资源部及采购部。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6565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集中管控原则：所有运维软件必须纳入统一的软件库进行集中管理，禁止私自引入和使用。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合规安全原则：软件的引入必须经过严格的合规与安全评估，确保不侵犯知识产权且无已知高危漏洞。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版本唯一原则：在同一环境下，对任一软件只允许一个受控版本在库内生效，避免版本混乱。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生命周期原则：对软件从事前评估、事中控制到事后归档实施全生命周期管理。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0662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default"/>
          <w:lang w:val="en-US" w:eastAsia="zh-CN"/>
        </w:rPr>
      </w:pPr>
      <w:bookmarkStart w:id="8" w:name="_Toc30204"/>
      <w:r>
        <w:rPr>
          <w:rFonts w:hint="default"/>
          <w:lang w:val="en-US" w:eastAsia="zh-CN"/>
        </w:rPr>
        <w:t>运维管理部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作为软件的主要使用者和库管理责任部门，负责提报软件需求、执行软件部署、进行日常维护，并承担软件库的日常管理操作。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27195"/>
      <w:r>
        <w:rPr>
          <w:rFonts w:hint="default"/>
          <w:lang w:val="en-US" w:eastAsia="zh-CN"/>
        </w:rPr>
        <w:t>采购部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负责商业软件的采购流程，确保采购活动符合公司规定及软件许可协议。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0" w:name="_Toc5161"/>
      <w:r>
        <w:rPr>
          <w:rFonts w:hint="default"/>
          <w:lang w:val="en-US" w:eastAsia="zh-CN"/>
        </w:rPr>
        <w:t>质量效能部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负责监督软件引入的技术评估与测试流程，并定期审计软件库的合规性与管理规范性。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1" w:name="_Toc2833"/>
      <w:r>
        <w:rPr>
          <w:rFonts w:hint="default"/>
          <w:lang w:val="en-US" w:eastAsia="zh-CN"/>
        </w:rPr>
        <w:t>研发部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负责对需要二次开发或深度集成的软件提供技术评估支持。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2" w:name="_Toc28215"/>
      <w:r>
        <w:rPr>
          <w:rFonts w:hint="default"/>
          <w:lang w:val="en-US" w:eastAsia="zh-CN"/>
        </w:rPr>
        <w:t>人力资源部</w:t>
      </w:r>
      <w:bookmarkEnd w:id="1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负责组织相关人员的软件管理制度与规范培训。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3" w:name="_Toc15195"/>
      <w:r>
        <w:rPr>
          <w:rFonts w:hint="eastAsia"/>
          <w:lang w:val="en-US" w:eastAsia="zh-CN"/>
        </w:rPr>
        <w:t>引用依据</w:t>
      </w:r>
      <w:bookmarkEnd w:id="1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本制度的制定遵循并引用以下国家标准与行业规范：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4" w:name="_Toc17818"/>
      <w:r>
        <w:rPr>
          <w:rFonts w:hint="eastAsia"/>
          <w:lang w:val="en-US" w:eastAsia="zh-CN"/>
        </w:rPr>
        <w:t>定义与术语</w:t>
      </w:r>
      <w:bookmarkEnd w:id="14"/>
    </w:p>
    <w:p>
      <w:pPr>
        <w:pStyle w:val="2"/>
        <w:bidi w:val="0"/>
        <w:rPr>
          <w:rFonts w:hint="eastAsia"/>
        </w:rPr>
      </w:pPr>
      <w:bookmarkStart w:id="15" w:name="_Toc4488"/>
      <w:r>
        <w:rPr>
          <w:rFonts w:hint="eastAsia"/>
        </w:rPr>
        <w:t>软件库</w:t>
      </w:r>
      <w:bookmarkEnd w:id="15"/>
    </w:p>
    <w:p>
      <w:pPr>
        <w:pStyle w:val="a1"/>
        <w:rPr>
          <w:rFonts w:hint="eastAsia"/>
        </w:rPr>
      </w:pPr>
      <w:r>
        <w:rPr>
          <w:rFonts w:hint="eastAsia"/>
        </w:rPr>
        <w:t>指公司用于统一存储、管理并发布所有经过授权和验证的软件安装包、许可证、文档及版本信息的逻辑存储库。</w:t>
      </w:r>
    </w:p>
    <w:p>
      <w:pPr>
        <w:pStyle w:val="2"/>
        <w:bidi w:val="0"/>
        <w:rPr>
          <w:rFonts w:hint="eastAsia"/>
        </w:rPr>
      </w:pPr>
      <w:bookmarkStart w:id="16" w:name="_Toc28333"/>
      <w:r>
        <w:rPr>
          <w:rFonts w:hint="eastAsia"/>
        </w:rPr>
        <w:t>软件资产</w:t>
      </w:r>
      <w:bookmarkEnd w:id="16"/>
    </w:p>
    <w:p>
      <w:pPr>
        <w:pStyle w:val="a1"/>
        <w:rPr>
          <w:rFonts w:hint="eastAsia"/>
        </w:rPr>
      </w:pPr>
      <w:r>
        <w:rPr>
          <w:rFonts w:hint="eastAsia"/>
        </w:rPr>
        <w:t>指公司拥有合法使用权的各类软件及其相关许可证明文档。</w:t>
      </w:r>
    </w:p>
    <w:p>
      <w:pPr>
        <w:pStyle w:val="2"/>
        <w:bidi w:val="0"/>
        <w:rPr>
          <w:rFonts w:hint="eastAsia"/>
        </w:rPr>
      </w:pPr>
      <w:bookmarkStart w:id="17" w:name="_Toc20900"/>
      <w:r>
        <w:rPr>
          <w:rFonts w:hint="eastAsia"/>
        </w:rPr>
        <w:t>基线版本</w:t>
      </w:r>
      <w:bookmarkEnd w:id="17"/>
    </w:p>
    <w:p>
      <w:pPr>
        <w:pStyle w:val="a1"/>
      </w:pPr>
      <w:r>
        <w:rPr>
          <w:rFonts w:hint="eastAsia"/>
        </w:rPr>
        <w:t>指经过全面测试、验证稳定，并被正式批准可在生产环境中部署运行的软件版本。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6888"/>
      <w:r>
        <w:rPr>
          <w:rFonts w:hint="eastAsia"/>
          <w:lang w:val="en-US" w:eastAsia="zh-CN"/>
        </w:rPr>
        <w:t>管理内容与要求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9455"/>
      <w:r>
        <w:rPr>
          <w:rFonts w:hint="default"/>
          <w:lang w:val="en-US" w:eastAsia="zh-CN"/>
        </w:rPr>
        <w:t>软件分类与分级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软件分类：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系统软件：如操作系统、虚拟机监控程序等。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支撑软件：如数据库、中间件、备份软件等。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工具软件：如监控工具、自动化运维平台、安全扫描工具等。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应用补丁：针对上述软件的补丁程序、漏洞修复程序。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使用环境分级：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生产环境软件：用于正式业务运营的软件，需经过最严格的测试与审批。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测试环境软件：用于功能、性能测试的软件。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开发环境软件：用于研发或模拟环境的软件。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6837"/>
      <w:r>
        <w:rPr>
          <w:rFonts w:hint="default"/>
          <w:lang w:val="en-US" w:eastAsia="zh-CN"/>
        </w:rPr>
        <w:t>软件引入与入库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需求申请：使用部门填写《软件引入申请表》，明确软件用途、技术要求和业务必要性。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技术评估：运维管理部与质量效能部对软件的技术兼容性、性能及安全性进行评估。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合规审核：采购部负责审核软件许可证类型的合规性及商业条款。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批准入库：所有评估审核通过后，由运维管理部负责人批准。软件包、许可证文件及相关文档由软件库管理员统一录入软件库，并建立初始台账。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15813"/>
      <w:r>
        <w:rPr>
          <w:rFonts w:hint="default"/>
          <w:lang w:val="en-US" w:eastAsia="zh-CN"/>
        </w:rPr>
        <w:t>软件存储与版本控制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集中存储：所有软件安装包必须存放于指定的软件库服务器中，并进行病毒扫描。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版本管理：软件库中每个软件均需标识清晰的版本号。对已部署的基线版本进行锁定，任何升级需遵循变更管理流程。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元数据记录：每个软件条目必须记录名称、版本、供应商、引入日期、许可证信息、MD5校验码、存放路径及负责人等元数据。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26633"/>
      <w:r>
        <w:rPr>
          <w:rFonts w:hint="default"/>
          <w:lang w:val="en-US" w:eastAsia="zh-CN"/>
        </w:rPr>
        <w:t>软件发布与部署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申请与审批：软件部署必须经过正式的发布流程审批。部署至生产环境的软件必须是软件库中的基线版本。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来源唯一：所有环境的软件部署，其安装包必须来源于软件库，禁止使用其他来源的安装包。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记录追踪：每次软件发布与部署均需记录，确保部署行为可追溯。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1187"/>
      <w:r>
        <w:rPr>
          <w:rFonts w:hint="default"/>
          <w:lang w:val="en-US" w:eastAsia="zh-CN"/>
        </w:rPr>
        <w:t>软件维护与退役</w:t>
      </w:r>
      <w:bookmarkEnd w:id="2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更新与升级：软件升级版本需重新执行引入与入库流程。紧急补丁可走快速通道，但必须事后补全手续并通知质量效能部。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定期盘点：每半年对软件库内的软件资产进行一次全面盘点，核对实物（安装包）与台账（许可证数量）的一致性。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退役处理：对已停止技术支撑、存在严重安全漏洞或不再使用的软件，由运维管理部发起退役申请，经批准后，将其移至软件库的历史归档区，并更新资产状态。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8263"/>
      <w:r>
        <w:rPr>
          <w:rFonts w:hint="eastAsia"/>
          <w:lang w:val="en-US" w:eastAsia="zh-CN"/>
        </w:rPr>
        <w:t>考核指标</w:t>
      </w:r>
      <w:bookmarkEnd w:id="24"/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软件版本一致率</w:t>
            </w:r>
          </w:p>
        </w:tc>
        <w:tc>
          <w:tcPr>
            <w:tcW w:w="342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（生产环境中与最终软件库版本一致的组件数/发布版本总数）*100%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年度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≥95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%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5" w:name="bookmark3"/>
      <w:bookmarkEnd w:id="25"/>
      <w:bookmarkStart w:id="26" w:name="_Toc12040"/>
      <w:bookmarkStart w:id="27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26"/>
      <w:bookmarkEnd w:id="27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bookmark14"/>
      <w:bookmarkEnd w:id="28"/>
      <w:bookmarkStart w:id="29" w:name="_Toc31678"/>
      <w:r>
        <w:rPr>
          <w:rFonts w:hint="eastAsia"/>
          <w:lang w:val="en-US" w:eastAsia="zh-CN"/>
        </w:rPr>
        <w:t>附件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0" w:name="_Toc12128"/>
      <w:r>
        <w:rPr>
          <w:rFonts w:hint="eastAsia"/>
          <w:lang w:val="en-US" w:eastAsia="zh-CN"/>
        </w:rPr>
        <w:t>记录</w:t>
      </w:r>
      <w:bookmarkEnd w:id="30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9783616"/>
    <w:multiLevelType w:val="singleLevel"/>
    <w:tmpl w:val="8978361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BF360E9F"/>
    <w:multiLevelType w:val="singleLevel"/>
    <w:tmpl w:val="BF360E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1979</Words>
  <Characters>2166</Characters>
  <Application>Microsoft Office Word</Application>
  <DocSecurity>0</DocSecurity>
  <Lines>0</Lines>
  <Paragraphs>0</Paragraphs>
  <ScaleCrop>false</ScaleCrop>
  <Company/>
  <LinksUpToDate>false</LinksUpToDate>
  <CharactersWithSpaces>2287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