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C209B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5714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 w14:paraId="0DE09049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8417"/>
      <w:r>
        <w:rPr>
          <w:rFonts w:hint="eastAsia"/>
          <w:lang w:val="en-US" w:eastAsia="zh-CN"/>
        </w:rPr>
        <w:t>运维服务工具自评估报告</w:t>
      </w:r>
      <w:bookmarkEnd w:id="1"/>
    </w:p>
    <w:p w14:paraId="0B8781A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7A742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25809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运维管理部</w:t>
            </w:r>
          </w:p>
        </w:tc>
        <w:tc>
          <w:tcPr>
            <w:tcW w:w="2708" w:type="dxa"/>
          </w:tcPr>
          <w:p w14:paraId="122857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 w14:paraId="64094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7FFC3D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478C3B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 w14:paraId="17B896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309AF1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 w14:paraId="500DA5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</w:tbl>
    <w:p w14:paraId="3FA3C5AC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5C6E61D5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245049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1CED8E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86FF71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1BA6A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163382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6A3E2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1BE92C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19" w:type="dxa"/>
          </w:tcPr>
          <w:p w14:paraId="1CFCC5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25C7D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1AE392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 w14:paraId="108F99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7DB0683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B22C86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B2620B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3A7BDBD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64BE45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09A4B5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09E1B6B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34DDCF3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4E9C9FA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3DB07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4C17DDD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0FCCDE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327A5F8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577806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433003B5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C7C7B2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B47E4E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_Toc25714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_Toc25714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999BE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_Toc28417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运维服务工具自评估报告</w:t>
          </w:r>
          <w:r>
            <w:tab/>
          </w:r>
          <w:r>
            <w:fldChar w:fldCharType="begin"/>
          </w:r>
          <w:r>
            <w:instrText xml:space="preserve"> PAGEREF _Toc28417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71B5E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_Toc2289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AF7CE9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EEA2A75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headerReference r:id="rId5" w:type="default"/>
          <w:pgSz w:w="11906" w:h="16838"/>
          <w:pgMar w:top="1417" w:right="1800" w:bottom="1440" w:left="1800" w:header="1140" w:footer="992" w:gutter="0"/>
          <w:cols w:space="425" w:num="1"/>
          <w:docGrid w:type="lines" w:linePitch="312" w:charSpace="0"/>
        </w:sect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30CE782">
      <w:pPr>
        <w:pStyle w:val="29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对运维工具使用情况进行评估,为后期工作提供指导意见</w:t>
      </w:r>
    </w:p>
    <w:tbl>
      <w:tblPr>
        <w:tblStyle w:val="26"/>
        <w:tblW w:w="1452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5"/>
        <w:gridCol w:w="1307"/>
        <w:gridCol w:w="2874"/>
        <w:gridCol w:w="2543"/>
        <w:gridCol w:w="1986"/>
        <w:gridCol w:w="3196"/>
        <w:gridCol w:w="1343"/>
      </w:tblGrid>
      <w:tr w14:paraId="78DD94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1" w:hRule="atLeast"/>
        </w:trPr>
        <w:tc>
          <w:tcPr>
            <w:tcW w:w="1275" w:type="dxa"/>
            <w:shd w:val="clear" w:color="auto" w:fill="E5E5E5"/>
          </w:tcPr>
          <w:p w14:paraId="65B000F2">
            <w:pPr>
              <w:spacing w:before="215" w:line="289" w:lineRule="auto"/>
              <w:ind w:left="538" w:right="110" w:hanging="42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运维工具分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类</w:t>
            </w:r>
          </w:p>
        </w:tc>
        <w:tc>
          <w:tcPr>
            <w:tcW w:w="1307" w:type="dxa"/>
            <w:shd w:val="clear" w:color="auto" w:fill="E5E5E5"/>
          </w:tcPr>
          <w:p w14:paraId="4EC08D5E">
            <w:pPr>
              <w:pStyle w:val="27"/>
              <w:spacing w:line="303" w:lineRule="auto"/>
            </w:pPr>
          </w:p>
          <w:p w14:paraId="76C5916D">
            <w:pPr>
              <w:spacing w:before="65" w:line="229" w:lineRule="auto"/>
              <w:ind w:left="23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</w:rPr>
              <w:t>工具名称</w:t>
            </w:r>
          </w:p>
        </w:tc>
        <w:tc>
          <w:tcPr>
            <w:tcW w:w="2874" w:type="dxa"/>
            <w:shd w:val="clear" w:color="auto" w:fill="E5E5E5"/>
          </w:tcPr>
          <w:p w14:paraId="37D0F784">
            <w:pPr>
              <w:spacing w:before="214" w:line="229" w:lineRule="auto"/>
              <w:ind w:left="52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主要功能</w:t>
            </w:r>
          </w:p>
          <w:p w14:paraId="1A6FF768">
            <w:pPr>
              <w:spacing w:before="63" w:line="228" w:lineRule="auto"/>
              <w:ind w:left="12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（关键功能说明）</w:t>
            </w:r>
          </w:p>
        </w:tc>
        <w:tc>
          <w:tcPr>
            <w:tcW w:w="2543" w:type="dxa"/>
            <w:shd w:val="clear" w:color="auto" w:fill="E5E5E5"/>
          </w:tcPr>
          <w:p w14:paraId="395A47E7">
            <w:pPr>
              <w:spacing w:before="214" w:line="228" w:lineRule="auto"/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使用情况说明</w:t>
            </w:r>
          </w:p>
          <w:p w14:paraId="1595138D">
            <w:pPr>
              <w:spacing w:before="214" w:line="228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（工具使用的客户及项目）</w:t>
            </w:r>
          </w:p>
        </w:tc>
        <w:tc>
          <w:tcPr>
            <w:tcW w:w="1986" w:type="dxa"/>
            <w:shd w:val="clear" w:color="auto" w:fill="E5E5E5"/>
          </w:tcPr>
          <w:p w14:paraId="3D7C02DD">
            <w:pPr>
              <w:spacing w:before="58" w:line="228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</w:rPr>
              <w:t>工具来源</w:t>
            </w:r>
          </w:p>
          <w:p w14:paraId="60869BB7">
            <w:pPr>
              <w:spacing w:before="66" w:line="263" w:lineRule="auto"/>
              <w:ind w:right="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（开源工具、</w:t>
            </w:r>
            <w:r>
              <w:rPr>
                <w:rFonts w:ascii="宋体" w:hAnsi="宋体" w:eastAsia="宋体" w:cs="宋体"/>
                <w:spacing w:val="-44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自主</w:t>
            </w: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研发、外购的说明）</w:t>
            </w:r>
          </w:p>
        </w:tc>
        <w:tc>
          <w:tcPr>
            <w:tcW w:w="3196" w:type="dxa"/>
            <w:shd w:val="clear" w:color="auto" w:fill="E5E5E5"/>
          </w:tcPr>
          <w:p w14:paraId="7370F8D3">
            <w:pPr>
              <w:pStyle w:val="27"/>
              <w:spacing w:line="303" w:lineRule="auto"/>
            </w:pPr>
          </w:p>
          <w:p w14:paraId="69018B23">
            <w:pPr>
              <w:spacing w:before="65" w:line="226" w:lineRule="auto"/>
              <w:ind w:left="76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7"/>
                <w:sz w:val="20"/>
                <w:szCs w:val="20"/>
              </w:rPr>
              <w:t>使用效果评估意见</w:t>
            </w:r>
          </w:p>
        </w:tc>
        <w:tc>
          <w:tcPr>
            <w:tcW w:w="1343" w:type="dxa"/>
            <w:shd w:val="clear" w:color="auto" w:fill="E5E5E5"/>
          </w:tcPr>
          <w:p w14:paraId="483E0C2B">
            <w:pPr>
              <w:spacing w:before="215" w:line="290" w:lineRule="auto"/>
              <w:ind w:left="476" w:right="302" w:hanging="16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评价人/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时间</w:t>
            </w:r>
          </w:p>
        </w:tc>
      </w:tr>
      <w:tr w14:paraId="7C3519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2" w:hRule="atLeast"/>
        </w:trPr>
        <w:tc>
          <w:tcPr>
            <w:tcW w:w="1275" w:type="dxa"/>
            <w:vMerge w:val="restart"/>
          </w:tcPr>
          <w:p w14:paraId="4E4FA855">
            <w:pPr>
              <w:pStyle w:val="27"/>
              <w:spacing w:line="261" w:lineRule="auto"/>
            </w:pPr>
          </w:p>
          <w:p w14:paraId="14CE4CD3">
            <w:pPr>
              <w:pStyle w:val="27"/>
              <w:spacing w:line="261" w:lineRule="auto"/>
            </w:pPr>
          </w:p>
          <w:p w14:paraId="51F74345">
            <w:pPr>
              <w:pStyle w:val="27"/>
              <w:spacing w:line="261" w:lineRule="auto"/>
            </w:pPr>
          </w:p>
          <w:p w14:paraId="302B4267">
            <w:pPr>
              <w:pStyle w:val="27"/>
              <w:spacing w:line="262" w:lineRule="auto"/>
            </w:pPr>
          </w:p>
          <w:p w14:paraId="65EDFA82">
            <w:pPr>
              <w:spacing w:before="78" w:line="243" w:lineRule="auto"/>
              <w:ind w:left="404" w:right="154" w:hanging="2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过程管理</w:t>
            </w: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工具</w:t>
            </w:r>
          </w:p>
        </w:tc>
        <w:tc>
          <w:tcPr>
            <w:tcW w:w="1307" w:type="dxa"/>
          </w:tcPr>
          <w:p w14:paraId="52109E57">
            <w:pPr>
              <w:pStyle w:val="27"/>
              <w:spacing w:line="296" w:lineRule="auto"/>
            </w:pPr>
          </w:p>
          <w:p w14:paraId="2620E09D">
            <w:pPr>
              <w:pStyle w:val="27"/>
              <w:spacing w:line="297" w:lineRule="auto"/>
            </w:pPr>
          </w:p>
          <w:p w14:paraId="61C6A8B6">
            <w:pPr>
              <w:pStyle w:val="27"/>
              <w:spacing w:line="297" w:lineRule="auto"/>
            </w:pPr>
          </w:p>
          <w:p w14:paraId="3610C849">
            <w:pPr>
              <w:spacing w:line="219" w:lineRule="auto"/>
              <w:ind w:left="184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DASUSM平台</w:t>
            </w:r>
          </w:p>
        </w:tc>
        <w:tc>
          <w:tcPr>
            <w:tcW w:w="2874" w:type="dxa"/>
          </w:tcPr>
          <w:p w14:paraId="44661430">
            <w:pPr>
              <w:spacing w:before="12" w:line="234" w:lineRule="auto"/>
              <w:ind w:left="118" w:right="107" w:firstLine="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DASUSM（明御 ® 运维审计与风险控制系统）集成了运维会话审计、身份权限管理、资产集中管控、工单流程管理等核心功能，还包含实时操作监控、风险策略告警、合规报表输出等模块，能够帮助企业对运维操作进行全流程安全管控与审计溯源，实现 “操作可追溯</w:t>
            </w:r>
          </w:p>
        </w:tc>
        <w:tc>
          <w:tcPr>
            <w:tcW w:w="2543" w:type="dxa"/>
          </w:tcPr>
          <w:p w14:paraId="4F3D0F88">
            <w:pPr>
              <w:spacing w:before="12" w:line="234" w:lineRule="auto"/>
              <w:ind w:left="118" w:right="107" w:firstLine="6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安徽益联-丰盈云人力资源服务业财一体化管理系统</w:t>
            </w:r>
          </w:p>
          <w:p w14:paraId="003203EC">
            <w:pPr>
              <w:spacing w:before="12" w:line="234" w:lineRule="auto"/>
              <w:ind w:left="118" w:right="107" w:firstLine="6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万古-员工数据闭环管理云服务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项目</w:t>
            </w:r>
          </w:p>
        </w:tc>
        <w:tc>
          <w:tcPr>
            <w:tcW w:w="1986" w:type="dxa"/>
          </w:tcPr>
          <w:p w14:paraId="0B38D9F4">
            <w:pPr>
              <w:pStyle w:val="27"/>
            </w:pPr>
          </w:p>
          <w:p w14:paraId="0E27B126">
            <w:pPr>
              <w:spacing w:before="78" w:line="220" w:lineRule="auto"/>
              <w:ind w:left="56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外购</w:t>
            </w:r>
          </w:p>
        </w:tc>
        <w:tc>
          <w:tcPr>
            <w:tcW w:w="3196" w:type="dxa"/>
          </w:tcPr>
          <w:p w14:paraId="10343ECA">
            <w:pPr>
              <w:spacing w:before="12" w:line="234" w:lineRule="auto"/>
              <w:ind w:left="118" w:right="107" w:firstLine="6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对ECS、RDS、SLB等云产品的资源负载、性能指标进行实时监控，如快速定位CPU利用率 100% 的云服务器并及时优化，保障业务系统稳定运行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借助其安全模块成功拦截了针对政务服务平台的 SQL 注入</w:t>
            </w:r>
          </w:p>
        </w:tc>
        <w:tc>
          <w:tcPr>
            <w:tcW w:w="1343" w:type="dxa"/>
          </w:tcPr>
          <w:p w14:paraId="40B24D34">
            <w:pPr>
              <w:pStyle w:val="27"/>
              <w:spacing w:line="261" w:lineRule="auto"/>
            </w:pPr>
          </w:p>
          <w:p w14:paraId="49A69DE7">
            <w:pPr>
              <w:pStyle w:val="27"/>
              <w:spacing w:line="261" w:lineRule="auto"/>
            </w:pPr>
          </w:p>
          <w:p w14:paraId="1D901AEB">
            <w:pPr>
              <w:pStyle w:val="27"/>
              <w:spacing w:line="262" w:lineRule="auto"/>
            </w:pPr>
          </w:p>
          <w:p w14:paraId="08919668">
            <w:pPr>
              <w:pStyle w:val="27"/>
              <w:spacing w:line="262" w:lineRule="auto"/>
            </w:pPr>
          </w:p>
          <w:p w14:paraId="29A1E7A0">
            <w:pPr>
              <w:spacing w:before="26" w:line="239" w:lineRule="auto"/>
              <w:ind w:left="12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王豪豪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2025.11.</w:t>
            </w: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22</w:t>
            </w:r>
          </w:p>
        </w:tc>
      </w:tr>
      <w:tr w14:paraId="1D9939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2" w:hRule="atLeast"/>
        </w:trPr>
        <w:tc>
          <w:tcPr>
            <w:tcW w:w="1275" w:type="dxa"/>
            <w:vMerge w:val="continue"/>
          </w:tcPr>
          <w:p w14:paraId="705A93E9">
            <w:pPr>
              <w:spacing w:before="78" w:line="243" w:lineRule="auto"/>
              <w:ind w:left="404" w:right="154" w:hanging="241"/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</w:pPr>
          </w:p>
        </w:tc>
        <w:tc>
          <w:tcPr>
            <w:tcW w:w="1307" w:type="dxa"/>
          </w:tcPr>
          <w:p w14:paraId="7D238170">
            <w:pPr>
              <w:spacing w:line="219" w:lineRule="auto"/>
              <w:ind w:left="184"/>
              <w:rPr>
                <w:rFonts w:hint="eastAsia"/>
                <w:lang w:val="en-US" w:eastAsia="zh-CN"/>
              </w:rPr>
            </w:pPr>
          </w:p>
          <w:p w14:paraId="04237A13">
            <w:pPr>
              <w:spacing w:line="219" w:lineRule="auto"/>
              <w:ind w:left="184"/>
              <w:rPr>
                <w:rFonts w:hint="eastAsia"/>
                <w:lang w:val="en-US" w:eastAsia="zh-CN"/>
              </w:rPr>
            </w:pPr>
          </w:p>
          <w:p w14:paraId="1FC2E1C5">
            <w:pPr>
              <w:spacing w:line="219" w:lineRule="auto"/>
              <w:ind w:left="184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禅道项目管理工具</w:t>
            </w:r>
          </w:p>
        </w:tc>
        <w:tc>
          <w:tcPr>
            <w:tcW w:w="2874" w:type="dxa"/>
          </w:tcPr>
          <w:p w14:paraId="32B291B0">
            <w:pPr>
              <w:spacing w:before="12" w:line="234" w:lineRule="auto"/>
              <w:ind w:left="118" w:right="107" w:firstLine="6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集成了需求管理、任务分解、缺陷跟踪、测试用例管理 等核心功能，还包含 项目计划与进度看板、燃尽图、团队协作 等模块，能够帮助团队对项目全生命周期进行结构化、可视化的管控，实现 “过程全透明、进度可跟踪、责任可追溯” 的高效协同。</w:t>
            </w:r>
          </w:p>
        </w:tc>
        <w:tc>
          <w:tcPr>
            <w:tcW w:w="2543" w:type="dxa"/>
          </w:tcPr>
          <w:p w14:paraId="7FE28DED">
            <w:pPr>
              <w:spacing w:before="12" w:line="234" w:lineRule="auto"/>
              <w:ind w:left="118" w:right="107" w:firstLine="6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安徽益联-丰盈云人力资源服务业财一体化管理系统</w:t>
            </w:r>
          </w:p>
          <w:p w14:paraId="5405A0EB">
            <w:pPr>
              <w:spacing w:before="12" w:line="234" w:lineRule="auto"/>
              <w:ind w:left="118" w:right="107" w:firstLine="6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万古-员工数据闭环管理云服务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项目</w:t>
            </w:r>
          </w:p>
        </w:tc>
        <w:tc>
          <w:tcPr>
            <w:tcW w:w="1986" w:type="dxa"/>
          </w:tcPr>
          <w:p w14:paraId="0661A006">
            <w:pPr>
              <w:spacing w:before="78" w:line="220" w:lineRule="auto"/>
              <w:ind w:left="560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</w:p>
          <w:p w14:paraId="7F4CE946">
            <w:pPr>
              <w:spacing w:before="78" w:line="220" w:lineRule="auto"/>
              <w:ind w:left="560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开源</w:t>
            </w:r>
          </w:p>
        </w:tc>
        <w:tc>
          <w:tcPr>
            <w:tcW w:w="3196" w:type="dxa"/>
          </w:tcPr>
          <w:p w14:paraId="5791435D">
            <w:pPr>
              <w:spacing w:before="12" w:line="234" w:lineRule="auto"/>
              <w:ind w:left="118" w:right="107" w:firstLine="6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项目计划、任务进度、缺陷修复进行全过程跟踪管理。如快速定位并协同处理因需求变更导致的开发任务阻塞，确保关键里程碑的按时达成，保障项目交付物有序推进。借助其测试与缺陷管理模块，高效跟进并闭环了在上线前测试阶段发现的多个核心功能问题，保障了系统交付质量</w:t>
            </w:r>
          </w:p>
        </w:tc>
        <w:tc>
          <w:tcPr>
            <w:tcW w:w="1343" w:type="dxa"/>
          </w:tcPr>
          <w:p w14:paraId="3C19BB8B">
            <w:pPr>
              <w:spacing w:before="26" w:line="239" w:lineRule="auto"/>
              <w:ind w:left="120"/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王豪豪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2025.11.</w:t>
            </w: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22</w:t>
            </w:r>
          </w:p>
        </w:tc>
      </w:tr>
      <w:tr w14:paraId="3F3C5E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9" w:hRule="atLeast"/>
        </w:trPr>
        <w:tc>
          <w:tcPr>
            <w:tcW w:w="1275" w:type="dxa"/>
          </w:tcPr>
          <w:p w14:paraId="60C0D4C4">
            <w:pPr>
              <w:pStyle w:val="27"/>
            </w:pPr>
          </w:p>
          <w:p w14:paraId="05B4FBF1">
            <w:pPr>
              <w:pStyle w:val="27"/>
            </w:pPr>
          </w:p>
          <w:p w14:paraId="37521254">
            <w:pPr>
              <w:spacing w:before="78" w:line="220" w:lineRule="auto"/>
              <w:ind w:left="16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监控工具</w:t>
            </w:r>
          </w:p>
        </w:tc>
        <w:tc>
          <w:tcPr>
            <w:tcW w:w="1307" w:type="dxa"/>
          </w:tcPr>
          <w:p w14:paraId="10CEEA2C">
            <w:pPr>
              <w:pStyle w:val="27"/>
              <w:spacing w:line="262" w:lineRule="auto"/>
            </w:pPr>
          </w:p>
          <w:p w14:paraId="26913B41">
            <w:pPr>
              <w:pStyle w:val="27"/>
              <w:spacing w:line="262" w:lineRule="auto"/>
            </w:pPr>
          </w:p>
          <w:p w14:paraId="755CB8FB">
            <w:pPr>
              <w:pStyle w:val="27"/>
              <w:spacing w:line="262" w:lineRule="auto"/>
            </w:pPr>
          </w:p>
          <w:p w14:paraId="473DC3F4">
            <w:pPr>
              <w:pStyle w:val="27"/>
              <w:spacing w:line="262" w:lineRule="auto"/>
            </w:pPr>
          </w:p>
          <w:p w14:paraId="4BA4B48A">
            <w:pPr>
              <w:spacing w:before="78" w:line="242" w:lineRule="auto"/>
              <w:ind w:left="179" w:right="119" w:hanging="73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阿里云飞天企业版</w:t>
            </w:r>
          </w:p>
        </w:tc>
        <w:tc>
          <w:tcPr>
            <w:tcW w:w="2874" w:type="dxa"/>
          </w:tcPr>
          <w:p w14:paraId="25EDC1C7">
            <w:pPr>
              <w:spacing w:before="12" w:line="234" w:lineRule="auto"/>
              <w:ind w:left="118" w:right="107" w:firstLine="6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集成了对云服务器（ECS）、云数据库（RDS）、负载均衡（SLB）、对象存储（OSS）等核心云资源的全方位监控，通过数据管理服务（DMS）、运维审计与统一监控模块，实现了对资源性能、容量、安全及可用性的实时感知与智能预警。该平台可帮助企业对云计算资源进行集中化、精细化的运营与管理，适用于政务、企业数字化转型等对稳定性与连续性要求极高的场景</w:t>
            </w:r>
          </w:p>
          <w:p w14:paraId="7273E3A5">
            <w:pPr>
              <w:spacing w:before="12" w:line="234" w:lineRule="auto"/>
              <w:ind w:left="118" w:right="107" w:firstLine="6"/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2543" w:type="dxa"/>
          </w:tcPr>
          <w:p w14:paraId="28D76D1C">
            <w:pPr>
              <w:spacing w:before="12" w:line="234" w:lineRule="auto"/>
              <w:ind w:left="118" w:right="107" w:firstLine="6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安徽益联-丰盈云人力资源服务业财一体化管理系统</w:t>
            </w:r>
          </w:p>
          <w:p w14:paraId="1E31BAA9">
            <w:pPr>
              <w:spacing w:before="12" w:line="234" w:lineRule="auto"/>
              <w:ind w:left="118" w:right="107" w:firstLine="6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万古-员工数据闭环管理云服务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项目</w:t>
            </w:r>
          </w:p>
        </w:tc>
        <w:tc>
          <w:tcPr>
            <w:tcW w:w="1986" w:type="dxa"/>
          </w:tcPr>
          <w:p w14:paraId="11664D4F">
            <w:pPr>
              <w:pStyle w:val="27"/>
            </w:pPr>
          </w:p>
          <w:p w14:paraId="2F36343E">
            <w:pPr>
              <w:spacing w:before="78" w:line="221" w:lineRule="auto"/>
              <w:ind w:left="521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pacing w:val="-3"/>
                <w:sz w:val="24"/>
                <w:szCs w:val="24"/>
                <w:lang w:val="en-US" w:eastAsia="zh-CN"/>
              </w:rPr>
              <w:t>外购</w:t>
            </w:r>
          </w:p>
        </w:tc>
        <w:tc>
          <w:tcPr>
            <w:tcW w:w="3196" w:type="dxa"/>
          </w:tcPr>
          <w:p w14:paraId="0FB700EB">
            <w:pPr>
              <w:spacing w:before="12" w:line="234" w:lineRule="auto"/>
              <w:ind w:left="118" w:right="107" w:firstLine="6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bookmarkStart w:id="2" w:name="_GoBack"/>
            <w:r>
              <w:rPr>
                <w:rFonts w:hint="eastAsia" w:ascii="宋体" w:hAnsi="宋体" w:eastAsia="宋体" w:cs="宋体"/>
                <w:sz w:val="24"/>
                <w:szCs w:val="24"/>
              </w:rPr>
              <w:t>依托阿里云飞天企业版提供的全方位监控能力，实现了对云服务器（ECS）、云数据库（RDS）、负载均衡（SLB）等核心资源的性能指标与运行状态的实时监控与智能预警。通过其完善的监控仪表盘与告警规则，能够快速发现并定位因流量激增、资源瓶颈或异常访问导致的系统性能劣化风险。例如，在业务高峰期间，监控平台及时捕获到数据库连接数逼近阈值并触发预警，运维团队据此迅速进行扩容与优化，有效避免了服务响应延迟或中断，保障了系统在高负载下的持续稳定运行与优质用户体验。该监控体系为运维决策提供了实时、准确的数据支撑，是实现系统高可用性与业务连续性的关键保障。</w:t>
            </w:r>
            <w:bookmarkEnd w:id="2"/>
          </w:p>
        </w:tc>
        <w:tc>
          <w:tcPr>
            <w:tcW w:w="1343" w:type="dxa"/>
          </w:tcPr>
          <w:p w14:paraId="78BE5727">
            <w:pPr>
              <w:pStyle w:val="27"/>
              <w:spacing w:line="261" w:lineRule="auto"/>
            </w:pPr>
          </w:p>
          <w:p w14:paraId="48070FBD">
            <w:pPr>
              <w:pStyle w:val="27"/>
              <w:spacing w:line="262" w:lineRule="auto"/>
            </w:pPr>
          </w:p>
          <w:p w14:paraId="4E12B967">
            <w:pPr>
              <w:pStyle w:val="27"/>
              <w:spacing w:line="262" w:lineRule="auto"/>
            </w:pPr>
          </w:p>
          <w:p w14:paraId="3506D075">
            <w:pPr>
              <w:pStyle w:val="27"/>
              <w:spacing w:line="262" w:lineRule="auto"/>
            </w:pPr>
          </w:p>
          <w:p w14:paraId="1D50F4BD">
            <w:pPr>
              <w:spacing w:before="26" w:line="239" w:lineRule="auto"/>
              <w:ind w:left="12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王豪豪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2025.11.</w:t>
            </w: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22</w:t>
            </w:r>
          </w:p>
        </w:tc>
      </w:tr>
    </w:tbl>
    <w:p w14:paraId="34F29BA5">
      <w:pPr>
        <w:pStyle w:val="29"/>
        <w:ind w:left="0" w:leftChars="0" w:firstLine="0" w:firstLineChars="0"/>
        <w:rPr>
          <w:rFonts w:hint="default"/>
          <w:lang w:val="en-US" w:eastAsia="zh-CN"/>
        </w:rPr>
      </w:pPr>
    </w:p>
    <w:sectPr>
      <w:pgSz w:w="16838" w:h="11906" w:orient="landscape"/>
      <w:pgMar w:top="1800" w:right="1417" w:bottom="1800" w:left="144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612D94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672C65"/>
    <w:rsid w:val="05243941"/>
    <w:rsid w:val="06451DC1"/>
    <w:rsid w:val="14373936"/>
    <w:rsid w:val="18AB1F57"/>
    <w:rsid w:val="1B1262BE"/>
    <w:rsid w:val="1F552C1D"/>
    <w:rsid w:val="46B300A5"/>
    <w:rsid w:val="48376AB4"/>
    <w:rsid w:val="4CFE5DF2"/>
    <w:rsid w:val="53E775E0"/>
    <w:rsid w:val="568B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1053</Words>
  <Characters>1174</Characters>
  <Lines>0</Lines>
  <Paragraphs>0</Paragraphs>
  <TotalTime>2</TotalTime>
  <ScaleCrop>false</ScaleCrop>
  <LinksUpToDate>false</LinksUpToDate>
  <CharactersWithSpaces>1202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2026-01-15T00:55:45Z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